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53" w:rsidRDefault="00385553" w:rsidP="00C46A11">
      <w:pPr>
        <w:rPr>
          <w:rFonts w:eastAsia="MS Mincho"/>
          <w:b/>
          <w:lang w:val="es-ES" w:eastAsia="en-US"/>
        </w:rPr>
      </w:pPr>
    </w:p>
    <w:p w:rsidR="00385553" w:rsidRPr="00385553" w:rsidRDefault="00385553" w:rsidP="00385553">
      <w:pPr>
        <w:spacing w:after="100" w:afterAutospacing="1" w:line="276" w:lineRule="auto"/>
        <w:jc w:val="center"/>
        <w:rPr>
          <w:rFonts w:ascii="Calibri" w:eastAsia="Calibri" w:hAnsi="Calibri"/>
          <w:b/>
          <w:sz w:val="22"/>
          <w:szCs w:val="22"/>
          <w:lang w:eastAsia="en-US"/>
        </w:rPr>
      </w:pPr>
      <w:r w:rsidRPr="00385553">
        <w:rPr>
          <w:rFonts w:ascii="Calibri" w:eastAsia="Calibri" w:hAnsi="Calibri"/>
          <w:b/>
          <w:sz w:val="22"/>
          <w:szCs w:val="22"/>
          <w:lang w:eastAsia="en-US"/>
        </w:rPr>
        <w:t xml:space="preserve">                                                                                                                          </w:t>
      </w:r>
      <w:r w:rsidRPr="00385553">
        <w:rPr>
          <w:rFonts w:ascii="Calibri" w:eastAsia="Calibri" w:hAnsi="Calibri"/>
          <w:b/>
          <w:noProof/>
          <w:sz w:val="22"/>
          <w:szCs w:val="22"/>
          <w:lang w:val="es-ES"/>
        </w:rPr>
        <w:drawing>
          <wp:inline distT="0" distB="0" distL="0" distR="0" wp14:anchorId="092FB21B" wp14:editId="05D05D60">
            <wp:extent cx="1684997" cy="3911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V.jpg"/>
                    <pic:cNvPicPr/>
                  </pic:nvPicPr>
                  <pic:blipFill>
                    <a:blip r:embed="rId8">
                      <a:extLst>
                        <a:ext uri="{28A0092B-C50C-407E-A947-70E740481C1C}">
                          <a14:useLocalDpi xmlns:a14="http://schemas.microsoft.com/office/drawing/2010/main" val="0"/>
                        </a:ext>
                      </a:extLst>
                    </a:blip>
                    <a:stretch>
                      <a:fillRect/>
                    </a:stretch>
                  </pic:blipFill>
                  <pic:spPr>
                    <a:xfrm>
                      <a:off x="0" y="0"/>
                      <a:ext cx="1690302" cy="392392"/>
                    </a:xfrm>
                    <a:prstGeom prst="rect">
                      <a:avLst/>
                    </a:prstGeom>
                  </pic:spPr>
                </pic:pic>
              </a:graphicData>
            </a:graphic>
          </wp:inline>
        </w:drawing>
      </w:r>
      <w:r w:rsidRPr="00385553">
        <w:rPr>
          <w:rFonts w:ascii="Calibri" w:eastAsia="Calibri" w:hAnsi="Calibri"/>
          <w:b/>
          <w:sz w:val="22"/>
          <w:szCs w:val="22"/>
          <w:lang w:eastAsia="en-US"/>
        </w:rPr>
        <w:t xml:space="preserve">                            </w:t>
      </w:r>
    </w:p>
    <w:p w:rsidR="00385553" w:rsidRPr="00385553" w:rsidRDefault="00385553" w:rsidP="00385553">
      <w:pPr>
        <w:jc w:val="center"/>
        <w:rPr>
          <w:rFonts w:ascii="Calibri" w:eastAsia="Calibri" w:hAnsi="Calibri"/>
          <w:b/>
          <w:sz w:val="22"/>
          <w:szCs w:val="22"/>
          <w:lang w:eastAsia="en-US"/>
        </w:rPr>
      </w:pPr>
      <w:r w:rsidRPr="00385553">
        <w:rPr>
          <w:rFonts w:ascii="Calibri" w:eastAsia="Calibri" w:hAnsi="Calibri"/>
          <w:b/>
          <w:sz w:val="22"/>
          <w:szCs w:val="22"/>
          <w:lang w:eastAsia="en-US"/>
        </w:rPr>
        <w:t>INFORME</w:t>
      </w:r>
    </w:p>
    <w:p w:rsidR="00385553" w:rsidRPr="00385553" w:rsidRDefault="00385553" w:rsidP="00385553">
      <w:pPr>
        <w:jc w:val="center"/>
        <w:rPr>
          <w:rFonts w:ascii="Calibri" w:eastAsia="Calibri" w:hAnsi="Calibri"/>
          <w:b/>
          <w:sz w:val="22"/>
          <w:szCs w:val="22"/>
          <w:lang w:eastAsia="en-US"/>
        </w:rPr>
      </w:pPr>
      <w:r w:rsidRPr="00385553">
        <w:rPr>
          <w:rFonts w:ascii="Calibri" w:eastAsia="Calibri" w:hAnsi="Calibri"/>
          <w:b/>
          <w:sz w:val="22"/>
          <w:szCs w:val="22"/>
          <w:lang w:eastAsia="en-US"/>
        </w:rPr>
        <w:t>EMPRESAS PROPIEDAD DEL ESTADO VENEZOLANO</w:t>
      </w:r>
    </w:p>
    <w:p w:rsidR="00385553" w:rsidRPr="00385553" w:rsidRDefault="00385553" w:rsidP="00385553">
      <w:pPr>
        <w:jc w:val="center"/>
        <w:rPr>
          <w:rFonts w:ascii="Calibri" w:eastAsia="Calibri" w:hAnsi="Calibri"/>
          <w:b/>
          <w:sz w:val="22"/>
          <w:szCs w:val="22"/>
          <w:lang w:eastAsia="en-US"/>
        </w:rPr>
      </w:pPr>
      <w:r>
        <w:rPr>
          <w:rFonts w:ascii="Calibri" w:eastAsia="Calibri" w:hAnsi="Calibri"/>
          <w:b/>
          <w:sz w:val="22"/>
          <w:szCs w:val="22"/>
          <w:lang w:eastAsia="en-US"/>
        </w:rPr>
        <w:t>CUART</w:t>
      </w:r>
      <w:r w:rsidRPr="00385553">
        <w:rPr>
          <w:rFonts w:ascii="Calibri" w:eastAsia="Calibri" w:hAnsi="Calibri"/>
          <w:b/>
          <w:sz w:val="22"/>
          <w:szCs w:val="22"/>
          <w:lang w:eastAsia="en-US"/>
        </w:rPr>
        <w:t>A PARTE</w:t>
      </w:r>
    </w:p>
    <w:p w:rsidR="00385553" w:rsidRPr="00385553" w:rsidRDefault="00385553" w:rsidP="00385553">
      <w:pPr>
        <w:jc w:val="center"/>
        <w:rPr>
          <w:rFonts w:ascii="Calibri" w:eastAsia="Calibri" w:hAnsi="Calibri"/>
          <w:b/>
          <w:sz w:val="22"/>
          <w:szCs w:val="22"/>
          <w:lang w:eastAsia="en-US"/>
        </w:rPr>
      </w:pPr>
    </w:p>
    <w:p w:rsidR="00385553" w:rsidRPr="00385553" w:rsidRDefault="00C45971" w:rsidP="00385553">
      <w:pPr>
        <w:spacing w:after="100" w:afterAutospacing="1" w:line="276" w:lineRule="auto"/>
        <w:jc w:val="both"/>
        <w:rPr>
          <w:rFonts w:ascii="Calibri" w:eastAsia="Calibri" w:hAnsi="Calibri"/>
          <w:sz w:val="22"/>
          <w:szCs w:val="22"/>
          <w:lang w:eastAsia="en-US"/>
        </w:rPr>
      </w:pPr>
      <w:r>
        <w:rPr>
          <w:rFonts w:ascii="Calibri" w:eastAsia="Calibri" w:hAnsi="Calibri"/>
          <w:sz w:val="22"/>
          <w:szCs w:val="22"/>
          <w:lang w:eastAsia="en-US"/>
        </w:rPr>
        <w:t xml:space="preserve">Transparencia Venezuela, </w:t>
      </w:r>
      <w:r w:rsidR="001A3152">
        <w:rPr>
          <w:rFonts w:ascii="Calibri" w:eastAsia="Calibri" w:hAnsi="Calibri"/>
          <w:sz w:val="22"/>
          <w:szCs w:val="22"/>
          <w:lang w:eastAsia="en-US"/>
        </w:rPr>
        <w:t>orientó su investigación sobre</w:t>
      </w:r>
      <w:r w:rsidR="00385553" w:rsidRPr="00385553">
        <w:rPr>
          <w:rFonts w:ascii="Calibri" w:eastAsia="Calibri" w:hAnsi="Calibri"/>
          <w:sz w:val="22"/>
          <w:szCs w:val="22"/>
          <w:lang w:eastAsia="en-US"/>
        </w:rPr>
        <w:t xml:space="preserve"> las empresas propiedad del Estado, </w:t>
      </w:r>
      <w:r w:rsidR="001A3152">
        <w:rPr>
          <w:rFonts w:ascii="Calibri" w:eastAsia="Calibri" w:hAnsi="Calibri"/>
          <w:sz w:val="22"/>
          <w:szCs w:val="22"/>
          <w:lang w:eastAsia="en-US"/>
        </w:rPr>
        <w:t>hacia la evaluación de los distintos sectores productivos de la economía y comenzó por la principal industria del país</w:t>
      </w:r>
      <w:r w:rsidR="00660EB3">
        <w:rPr>
          <w:rFonts w:ascii="Calibri" w:eastAsia="Calibri" w:hAnsi="Calibri"/>
          <w:sz w:val="22"/>
          <w:szCs w:val="22"/>
          <w:lang w:eastAsia="en-US"/>
        </w:rPr>
        <w:t>:</w:t>
      </w:r>
      <w:r w:rsidR="001A3152">
        <w:rPr>
          <w:rFonts w:ascii="Calibri" w:eastAsia="Calibri" w:hAnsi="Calibri"/>
          <w:sz w:val="22"/>
          <w:szCs w:val="22"/>
          <w:lang w:eastAsia="en-US"/>
        </w:rPr>
        <w:t xml:space="preserve"> Petróle</w:t>
      </w:r>
      <w:r w:rsidR="00C364FD">
        <w:rPr>
          <w:rFonts w:ascii="Calibri" w:eastAsia="Calibri" w:hAnsi="Calibri"/>
          <w:sz w:val="22"/>
          <w:szCs w:val="22"/>
          <w:lang w:eastAsia="en-US"/>
        </w:rPr>
        <w:t>os de Venezuela S.A.</w:t>
      </w:r>
      <w:r w:rsidR="001A3152">
        <w:rPr>
          <w:rFonts w:ascii="Calibri" w:eastAsia="Calibri" w:hAnsi="Calibri"/>
          <w:sz w:val="22"/>
          <w:szCs w:val="22"/>
          <w:lang w:eastAsia="en-US"/>
        </w:rPr>
        <w:t xml:space="preserve"> y</w:t>
      </w:r>
      <w:r w:rsidR="00385553" w:rsidRPr="00385553">
        <w:rPr>
          <w:rFonts w:ascii="Calibri" w:eastAsia="Calibri" w:hAnsi="Calibri"/>
          <w:sz w:val="22"/>
          <w:szCs w:val="22"/>
          <w:lang w:eastAsia="en-US"/>
        </w:rPr>
        <w:t xml:space="preserve"> a continuación revela los nuevos descubrimientos:</w:t>
      </w:r>
    </w:p>
    <w:p w:rsidR="007C0252" w:rsidRDefault="007C0252" w:rsidP="00385553">
      <w:pPr>
        <w:spacing w:after="100" w:afterAutospacing="1" w:line="276" w:lineRule="auto"/>
        <w:jc w:val="center"/>
        <w:rPr>
          <w:rFonts w:ascii="Calibri" w:eastAsia="Calibri" w:hAnsi="Calibri"/>
          <w:b/>
          <w:sz w:val="22"/>
          <w:szCs w:val="22"/>
          <w:lang w:eastAsia="en-US"/>
        </w:rPr>
      </w:pPr>
    </w:p>
    <w:p w:rsidR="00385553" w:rsidRPr="00385553" w:rsidRDefault="00CC02E2" w:rsidP="00385553">
      <w:pPr>
        <w:spacing w:after="100" w:afterAutospacing="1" w:line="276" w:lineRule="auto"/>
        <w:jc w:val="center"/>
        <w:rPr>
          <w:rFonts w:ascii="Calibri" w:eastAsia="Calibri" w:hAnsi="Calibri"/>
          <w:b/>
          <w:sz w:val="22"/>
          <w:szCs w:val="22"/>
          <w:lang w:eastAsia="en-US"/>
        </w:rPr>
      </w:pPr>
      <w:r>
        <w:rPr>
          <w:rFonts w:ascii="Calibri" w:eastAsia="Calibri" w:hAnsi="Calibri"/>
          <w:b/>
          <w:sz w:val="22"/>
          <w:szCs w:val="22"/>
          <w:lang w:eastAsia="en-US"/>
        </w:rPr>
        <w:t>CUARTO</w:t>
      </w:r>
      <w:r w:rsidR="00385553" w:rsidRPr="00385553">
        <w:rPr>
          <w:rFonts w:ascii="Calibri" w:eastAsia="Calibri" w:hAnsi="Calibri"/>
          <w:b/>
          <w:sz w:val="22"/>
          <w:szCs w:val="22"/>
          <w:lang w:eastAsia="en-US"/>
        </w:rPr>
        <w:t xml:space="preserve"> HALLAZGO</w:t>
      </w:r>
    </w:p>
    <w:p w:rsidR="00370DA6" w:rsidRPr="001A3152" w:rsidRDefault="00385553" w:rsidP="001A3152">
      <w:pPr>
        <w:spacing w:after="100" w:afterAutospacing="1" w:line="276" w:lineRule="auto"/>
        <w:jc w:val="both"/>
        <w:rPr>
          <w:rFonts w:ascii="Calibri" w:eastAsia="Calibri" w:hAnsi="Calibri"/>
          <w:sz w:val="22"/>
          <w:szCs w:val="22"/>
          <w:lang w:eastAsia="en-US"/>
        </w:rPr>
      </w:pPr>
      <w:r w:rsidRPr="00385553">
        <w:rPr>
          <w:rFonts w:ascii="Calibri" w:eastAsia="Calibri" w:hAnsi="Calibri"/>
          <w:sz w:val="22"/>
          <w:szCs w:val="22"/>
          <w:lang w:eastAsia="en-US"/>
        </w:rPr>
        <w:t xml:space="preserve">Transparencia Venezuela, </w:t>
      </w:r>
      <w:r w:rsidR="001A3152" w:rsidRPr="001A3152">
        <w:rPr>
          <w:rFonts w:ascii="Calibri" w:eastAsia="Calibri" w:hAnsi="Calibri"/>
          <w:sz w:val="22"/>
          <w:szCs w:val="22"/>
          <w:lang w:eastAsia="en-US"/>
        </w:rPr>
        <w:t>al analizar d</w:t>
      </w:r>
      <w:r w:rsidR="00E656CA" w:rsidRPr="001A3152">
        <w:rPr>
          <w:rFonts w:asciiTheme="minorHAnsi" w:eastAsia="Calibri" w:hAnsiTheme="minorHAnsi"/>
          <w:sz w:val="22"/>
          <w:szCs w:val="22"/>
          <w:lang w:eastAsia="en-US"/>
        </w:rPr>
        <w:t xml:space="preserve">atos </w:t>
      </w:r>
      <w:r w:rsidR="00FF2477" w:rsidRPr="001A3152">
        <w:rPr>
          <w:rFonts w:asciiTheme="minorHAnsi" w:eastAsia="Calibri" w:hAnsiTheme="minorHAnsi"/>
          <w:sz w:val="22"/>
          <w:szCs w:val="22"/>
          <w:lang w:eastAsia="en-US"/>
        </w:rPr>
        <w:t>previos y recientes de</w:t>
      </w:r>
      <w:r w:rsidR="001A3152">
        <w:rPr>
          <w:rFonts w:asciiTheme="minorHAnsi" w:eastAsia="Calibri" w:hAnsiTheme="minorHAnsi"/>
          <w:sz w:val="22"/>
          <w:szCs w:val="22"/>
          <w:lang w:eastAsia="en-US"/>
        </w:rPr>
        <w:t xml:space="preserve"> la gestión </w:t>
      </w:r>
      <w:r w:rsidR="00D62BA9" w:rsidRPr="001A3152">
        <w:rPr>
          <w:rFonts w:asciiTheme="minorHAnsi" w:eastAsia="Calibri" w:hAnsiTheme="minorHAnsi"/>
          <w:sz w:val="22"/>
          <w:szCs w:val="22"/>
          <w:lang w:eastAsia="en-US"/>
        </w:rPr>
        <w:t>de P</w:t>
      </w:r>
      <w:r w:rsidR="00AC7226" w:rsidRPr="001A3152">
        <w:rPr>
          <w:rFonts w:asciiTheme="minorHAnsi" w:eastAsia="Calibri" w:hAnsiTheme="minorHAnsi"/>
          <w:sz w:val="22"/>
          <w:szCs w:val="22"/>
          <w:lang w:eastAsia="en-US"/>
        </w:rPr>
        <w:t>etróleos de Venezuela S.A.</w:t>
      </w:r>
      <w:r w:rsidR="00D62BA9" w:rsidRPr="001A3152">
        <w:rPr>
          <w:rFonts w:asciiTheme="minorHAnsi" w:eastAsia="Calibri" w:hAnsiTheme="minorHAnsi"/>
          <w:sz w:val="22"/>
          <w:szCs w:val="22"/>
          <w:lang w:eastAsia="en-US"/>
        </w:rPr>
        <w:t xml:space="preserve"> </w:t>
      </w:r>
      <w:r w:rsidR="001A3152">
        <w:rPr>
          <w:rFonts w:asciiTheme="minorHAnsi" w:eastAsia="Calibri" w:hAnsiTheme="minorHAnsi"/>
          <w:sz w:val="22"/>
          <w:szCs w:val="22"/>
          <w:lang w:eastAsia="en-US"/>
        </w:rPr>
        <w:t>identific</w:t>
      </w:r>
      <w:r w:rsidR="006A6F30">
        <w:rPr>
          <w:rFonts w:asciiTheme="minorHAnsi" w:eastAsia="Calibri" w:hAnsiTheme="minorHAnsi"/>
          <w:sz w:val="22"/>
          <w:szCs w:val="22"/>
          <w:lang w:eastAsia="en-US"/>
        </w:rPr>
        <w:t>ó que su</w:t>
      </w:r>
      <w:r w:rsidR="001A3152">
        <w:rPr>
          <w:rFonts w:asciiTheme="minorHAnsi" w:eastAsia="Calibri" w:hAnsiTheme="minorHAnsi"/>
          <w:sz w:val="22"/>
          <w:szCs w:val="22"/>
          <w:lang w:eastAsia="en-US"/>
        </w:rPr>
        <w:t xml:space="preserve"> aporte </w:t>
      </w:r>
      <w:r w:rsidR="00D62BA9" w:rsidRPr="001A3152">
        <w:rPr>
          <w:rFonts w:asciiTheme="minorHAnsi" w:eastAsia="Calibri" w:hAnsiTheme="minorHAnsi"/>
          <w:sz w:val="22"/>
          <w:szCs w:val="22"/>
          <w:lang w:eastAsia="en-US"/>
        </w:rPr>
        <w:t>a la producción de petróleo mundial y de los miembros de la O</w:t>
      </w:r>
      <w:r w:rsidR="00370DA6" w:rsidRPr="001A3152">
        <w:rPr>
          <w:rFonts w:asciiTheme="minorHAnsi" w:eastAsia="Calibri" w:hAnsiTheme="minorHAnsi"/>
          <w:sz w:val="22"/>
          <w:szCs w:val="22"/>
          <w:lang w:eastAsia="en-US"/>
        </w:rPr>
        <w:t xml:space="preserve">rganización de </w:t>
      </w:r>
      <w:r w:rsidR="00D62BA9" w:rsidRPr="001A3152">
        <w:rPr>
          <w:rFonts w:asciiTheme="minorHAnsi" w:eastAsia="Calibri" w:hAnsiTheme="minorHAnsi"/>
          <w:sz w:val="22"/>
          <w:szCs w:val="22"/>
          <w:lang w:eastAsia="en-US"/>
        </w:rPr>
        <w:t>P</w:t>
      </w:r>
      <w:r w:rsidR="00370DA6" w:rsidRPr="001A3152">
        <w:rPr>
          <w:rFonts w:asciiTheme="minorHAnsi" w:eastAsia="Calibri" w:hAnsiTheme="minorHAnsi"/>
          <w:sz w:val="22"/>
          <w:szCs w:val="22"/>
          <w:lang w:eastAsia="en-US"/>
        </w:rPr>
        <w:t xml:space="preserve">aíses </w:t>
      </w:r>
      <w:r w:rsidR="00D62BA9" w:rsidRPr="001A3152">
        <w:rPr>
          <w:rFonts w:asciiTheme="minorHAnsi" w:eastAsia="Calibri" w:hAnsiTheme="minorHAnsi"/>
          <w:sz w:val="22"/>
          <w:szCs w:val="22"/>
          <w:lang w:eastAsia="en-US"/>
        </w:rPr>
        <w:t>E</w:t>
      </w:r>
      <w:r w:rsidR="00370DA6" w:rsidRPr="001A3152">
        <w:rPr>
          <w:rFonts w:asciiTheme="minorHAnsi" w:eastAsia="Calibri" w:hAnsiTheme="minorHAnsi"/>
          <w:sz w:val="22"/>
          <w:szCs w:val="22"/>
          <w:lang w:eastAsia="en-US"/>
        </w:rPr>
        <w:t xml:space="preserve">xportadores de </w:t>
      </w:r>
      <w:r w:rsidR="00D62BA9" w:rsidRPr="001A3152">
        <w:rPr>
          <w:rFonts w:asciiTheme="minorHAnsi" w:eastAsia="Calibri" w:hAnsiTheme="minorHAnsi"/>
          <w:sz w:val="22"/>
          <w:szCs w:val="22"/>
          <w:lang w:eastAsia="en-US"/>
        </w:rPr>
        <w:t>P</w:t>
      </w:r>
      <w:r w:rsidR="00370DA6" w:rsidRPr="001A3152">
        <w:rPr>
          <w:rFonts w:asciiTheme="minorHAnsi" w:eastAsia="Calibri" w:hAnsiTheme="minorHAnsi"/>
          <w:sz w:val="22"/>
          <w:szCs w:val="22"/>
          <w:lang w:eastAsia="en-US"/>
        </w:rPr>
        <w:t xml:space="preserve">etróleo cayó </w:t>
      </w:r>
      <w:r w:rsidR="00D62BA9" w:rsidRPr="001A3152">
        <w:rPr>
          <w:rFonts w:asciiTheme="minorHAnsi" w:eastAsia="Calibri" w:hAnsiTheme="minorHAnsi"/>
          <w:sz w:val="22"/>
          <w:szCs w:val="22"/>
          <w:lang w:eastAsia="en-US"/>
        </w:rPr>
        <w:t>31%,</w:t>
      </w:r>
      <w:r w:rsidR="00370DA6" w:rsidRPr="001A3152">
        <w:rPr>
          <w:rFonts w:asciiTheme="minorHAnsi" w:eastAsia="Calibri" w:hAnsiTheme="minorHAnsi"/>
          <w:sz w:val="22"/>
          <w:szCs w:val="22"/>
          <w:lang w:eastAsia="en-US"/>
        </w:rPr>
        <w:t xml:space="preserve"> entre el año</w:t>
      </w:r>
      <w:r w:rsidR="001A3152">
        <w:rPr>
          <w:rFonts w:asciiTheme="minorHAnsi" w:eastAsia="Calibri" w:hAnsiTheme="minorHAnsi"/>
          <w:sz w:val="22"/>
          <w:szCs w:val="22"/>
          <w:lang w:eastAsia="en-US"/>
        </w:rPr>
        <w:t xml:space="preserve"> </w:t>
      </w:r>
      <w:r w:rsidR="00370DA6" w:rsidRPr="001A3152">
        <w:rPr>
          <w:rFonts w:asciiTheme="minorHAnsi" w:eastAsia="Calibri" w:hAnsiTheme="minorHAnsi"/>
          <w:sz w:val="22"/>
          <w:szCs w:val="22"/>
          <w:lang w:eastAsia="en-US"/>
        </w:rPr>
        <w:t>1998 y 2015,</w:t>
      </w:r>
      <w:r w:rsidR="00D62BA9" w:rsidRPr="001A3152">
        <w:rPr>
          <w:rFonts w:asciiTheme="minorHAnsi" w:eastAsia="Calibri" w:hAnsiTheme="minorHAnsi"/>
          <w:sz w:val="22"/>
          <w:szCs w:val="22"/>
          <w:lang w:eastAsia="en-US"/>
        </w:rPr>
        <w:t xml:space="preserve"> motivado por el descenso</w:t>
      </w:r>
      <w:r w:rsidR="00370DA6" w:rsidRPr="001A3152">
        <w:rPr>
          <w:rFonts w:asciiTheme="minorHAnsi" w:hAnsiTheme="minorHAnsi"/>
          <w:sz w:val="22"/>
          <w:szCs w:val="22"/>
        </w:rPr>
        <w:t xml:space="preserve"> </w:t>
      </w:r>
      <w:r w:rsidR="00370DA6" w:rsidRPr="001A3152">
        <w:rPr>
          <w:rFonts w:asciiTheme="minorHAnsi" w:eastAsia="Calibri" w:hAnsiTheme="minorHAnsi"/>
          <w:sz w:val="22"/>
          <w:szCs w:val="22"/>
          <w:lang w:eastAsia="en-US"/>
        </w:rPr>
        <w:t>de 20%</w:t>
      </w:r>
      <w:r w:rsidR="00D62BA9" w:rsidRPr="001A3152">
        <w:rPr>
          <w:rFonts w:asciiTheme="minorHAnsi" w:eastAsia="Calibri" w:hAnsiTheme="minorHAnsi"/>
          <w:sz w:val="22"/>
          <w:szCs w:val="22"/>
          <w:lang w:eastAsia="en-US"/>
        </w:rPr>
        <w:t xml:space="preserve"> en la producción interna durante el período comparado, mientras que todos los oferentes en conjunt</w:t>
      </w:r>
      <w:r w:rsidR="00370DA6" w:rsidRPr="001A3152">
        <w:rPr>
          <w:rFonts w:asciiTheme="minorHAnsi" w:eastAsia="Calibri" w:hAnsiTheme="minorHAnsi"/>
          <w:sz w:val="22"/>
          <w:szCs w:val="22"/>
          <w:lang w:eastAsia="en-US"/>
        </w:rPr>
        <w:t>o incrementaron su producción</w:t>
      </w:r>
      <w:r w:rsidR="00D62BA9" w:rsidRPr="001A3152">
        <w:rPr>
          <w:rFonts w:asciiTheme="minorHAnsi" w:eastAsia="Calibri" w:hAnsiTheme="minorHAnsi"/>
          <w:sz w:val="22"/>
          <w:szCs w:val="22"/>
          <w:lang w:eastAsia="en-US"/>
        </w:rPr>
        <w:t xml:space="preserve"> 15% promedio. </w:t>
      </w: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r w:rsidRPr="001A3152">
        <w:rPr>
          <w:rFonts w:asciiTheme="minorHAnsi" w:eastAsia="Calibri" w:hAnsiTheme="minorHAnsi"/>
          <w:sz w:val="22"/>
          <w:szCs w:val="22"/>
          <w:lang w:eastAsia="en-US"/>
        </w:rPr>
        <w:t>Se conjuga con el escenario anterior</w:t>
      </w:r>
      <w:r w:rsidR="001A3152">
        <w:rPr>
          <w:rFonts w:asciiTheme="minorHAnsi" w:eastAsia="Calibri" w:hAnsiTheme="minorHAnsi"/>
          <w:sz w:val="22"/>
          <w:szCs w:val="22"/>
          <w:lang w:eastAsia="en-US"/>
        </w:rPr>
        <w:t>,</w:t>
      </w:r>
      <w:r w:rsidRPr="001A3152">
        <w:rPr>
          <w:rFonts w:asciiTheme="minorHAnsi" w:eastAsia="Calibri" w:hAnsiTheme="minorHAnsi"/>
          <w:sz w:val="22"/>
          <w:szCs w:val="22"/>
          <w:lang w:eastAsia="en-US"/>
        </w:rPr>
        <w:t xml:space="preserve"> el aumento de 31% en el consumo interno de productos refinados que influyó también en la disminución de las exportaciones petroleras. No obstante, los ingresos obtenidos por exportaciones en 2015 son 215% superiores a los obtenidos en 1998, por los diferenciales en los precios promedios de ambos años. Es preciso tener presente que estos ingresos fueron muy superiores en los años previos a 2015.  </w:t>
      </w: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p>
    <w:p w:rsidR="00D62BA9" w:rsidRDefault="00D62BA9" w:rsidP="00D62BA9">
      <w:pPr>
        <w:spacing w:after="100" w:afterAutospacing="1"/>
        <w:contextualSpacing/>
        <w:jc w:val="both"/>
        <w:rPr>
          <w:rFonts w:asciiTheme="minorHAnsi" w:eastAsia="Calibri" w:hAnsiTheme="minorHAnsi"/>
          <w:sz w:val="22"/>
          <w:szCs w:val="22"/>
          <w:lang w:eastAsia="en-US"/>
        </w:rPr>
      </w:pPr>
      <w:r w:rsidRPr="001A3152">
        <w:rPr>
          <w:rFonts w:asciiTheme="minorHAnsi" w:eastAsia="Calibri" w:hAnsiTheme="minorHAnsi"/>
          <w:sz w:val="22"/>
          <w:szCs w:val="22"/>
          <w:lang w:eastAsia="en-US"/>
        </w:rPr>
        <w:t>Otro dato revelador en los años comparados</w:t>
      </w:r>
      <w:r w:rsidR="00370DA6" w:rsidRPr="001A3152">
        <w:rPr>
          <w:rFonts w:asciiTheme="minorHAnsi" w:eastAsia="Calibri" w:hAnsiTheme="minorHAnsi"/>
          <w:sz w:val="22"/>
          <w:szCs w:val="22"/>
          <w:lang w:eastAsia="en-US"/>
        </w:rPr>
        <w:t xml:space="preserve"> (1998 y 2015)</w:t>
      </w:r>
      <w:r w:rsidRPr="001A3152">
        <w:rPr>
          <w:rFonts w:asciiTheme="minorHAnsi" w:eastAsia="Calibri" w:hAnsiTheme="minorHAnsi"/>
          <w:sz w:val="22"/>
          <w:szCs w:val="22"/>
          <w:lang w:eastAsia="en-US"/>
        </w:rPr>
        <w:t xml:space="preserve"> es el comportamiento de los aportes fiscales de la industria por Impuesto Sobre la Renta (ISLR), Regalías y otras contribuciones, que expresados en bolívares nominales aparentan un crecimiento significativo, pero descontando el efecto de la inflación en realidad reflejan una disminución global del 58%: en el caso de los aportes por ISLR, en 2015 fueron inferiores en 49% respecto a los de 1998; en el caso de las regalías, éstas fueron inferiores en un 46% en 2015 respecto a 1998; en relación a otras contribuciones fiscales por petróleo la caída fue del 88% considerando los mismos años. </w:t>
      </w:r>
    </w:p>
    <w:p w:rsidR="007C0252" w:rsidRDefault="007C0252" w:rsidP="00D62BA9">
      <w:pPr>
        <w:spacing w:after="100" w:afterAutospacing="1"/>
        <w:contextualSpacing/>
        <w:jc w:val="both"/>
        <w:rPr>
          <w:rFonts w:asciiTheme="minorHAnsi" w:eastAsia="Calibri" w:hAnsiTheme="minorHAnsi"/>
          <w:sz w:val="22"/>
          <w:szCs w:val="22"/>
          <w:lang w:eastAsia="en-US"/>
        </w:rPr>
      </w:pPr>
    </w:p>
    <w:p w:rsidR="007C0252" w:rsidRDefault="007C0252" w:rsidP="00D62BA9">
      <w:pPr>
        <w:spacing w:after="100" w:afterAutospacing="1"/>
        <w:contextualSpacing/>
        <w:jc w:val="both"/>
        <w:rPr>
          <w:rFonts w:asciiTheme="minorHAnsi" w:eastAsia="Calibri" w:hAnsiTheme="minorHAnsi"/>
          <w:sz w:val="22"/>
          <w:szCs w:val="22"/>
          <w:lang w:eastAsia="en-US"/>
        </w:rPr>
      </w:pPr>
    </w:p>
    <w:p w:rsidR="007C0252" w:rsidRDefault="007C0252" w:rsidP="00D62BA9">
      <w:pPr>
        <w:spacing w:after="100" w:afterAutospacing="1"/>
        <w:contextualSpacing/>
        <w:jc w:val="both"/>
        <w:rPr>
          <w:rFonts w:asciiTheme="minorHAnsi" w:eastAsia="Calibri" w:hAnsiTheme="minorHAnsi"/>
          <w:sz w:val="22"/>
          <w:szCs w:val="22"/>
          <w:lang w:eastAsia="en-US"/>
        </w:rPr>
      </w:pPr>
    </w:p>
    <w:p w:rsidR="007C0252" w:rsidRDefault="007C0252" w:rsidP="00D62BA9">
      <w:pPr>
        <w:spacing w:after="100" w:afterAutospacing="1"/>
        <w:contextualSpacing/>
        <w:jc w:val="both"/>
        <w:rPr>
          <w:rFonts w:asciiTheme="minorHAnsi" w:eastAsia="Calibri" w:hAnsiTheme="minorHAnsi"/>
          <w:sz w:val="22"/>
          <w:szCs w:val="22"/>
          <w:lang w:eastAsia="en-US"/>
        </w:rPr>
      </w:pPr>
    </w:p>
    <w:p w:rsidR="007C0252" w:rsidRDefault="007C0252" w:rsidP="00D62BA9">
      <w:pPr>
        <w:spacing w:after="100" w:afterAutospacing="1"/>
        <w:contextualSpacing/>
        <w:jc w:val="both"/>
        <w:rPr>
          <w:rFonts w:asciiTheme="minorHAnsi" w:eastAsia="Calibri" w:hAnsiTheme="minorHAnsi"/>
          <w:sz w:val="22"/>
          <w:szCs w:val="22"/>
          <w:lang w:eastAsia="en-US"/>
        </w:rPr>
      </w:pPr>
    </w:p>
    <w:p w:rsidR="007C0252" w:rsidRDefault="007C0252" w:rsidP="00D62BA9">
      <w:pPr>
        <w:spacing w:after="100" w:afterAutospacing="1"/>
        <w:contextualSpacing/>
        <w:jc w:val="both"/>
        <w:rPr>
          <w:rFonts w:asciiTheme="minorHAnsi" w:eastAsia="Calibri" w:hAnsiTheme="minorHAnsi"/>
          <w:sz w:val="22"/>
          <w:szCs w:val="22"/>
          <w:lang w:eastAsia="en-US"/>
        </w:rPr>
      </w:pPr>
    </w:p>
    <w:p w:rsidR="007C0252" w:rsidRDefault="007C0252" w:rsidP="00D62BA9">
      <w:pPr>
        <w:spacing w:after="100" w:afterAutospacing="1"/>
        <w:contextualSpacing/>
        <w:jc w:val="both"/>
        <w:rPr>
          <w:rFonts w:asciiTheme="minorHAnsi" w:eastAsia="Calibri" w:hAnsiTheme="minorHAnsi"/>
          <w:sz w:val="22"/>
          <w:szCs w:val="22"/>
          <w:lang w:eastAsia="en-US"/>
        </w:rPr>
      </w:pPr>
    </w:p>
    <w:p w:rsidR="007C0252" w:rsidRDefault="007C0252" w:rsidP="00D62BA9">
      <w:pPr>
        <w:spacing w:after="100" w:afterAutospacing="1"/>
        <w:contextualSpacing/>
        <w:jc w:val="both"/>
        <w:rPr>
          <w:rFonts w:asciiTheme="minorHAnsi" w:eastAsia="Calibri" w:hAnsiTheme="minorHAnsi"/>
          <w:sz w:val="22"/>
          <w:szCs w:val="22"/>
          <w:lang w:eastAsia="en-US"/>
        </w:rPr>
      </w:pPr>
    </w:p>
    <w:p w:rsidR="007C0252" w:rsidRDefault="007C0252" w:rsidP="00D62BA9">
      <w:pPr>
        <w:spacing w:after="100" w:afterAutospacing="1"/>
        <w:contextualSpacing/>
        <w:jc w:val="both"/>
        <w:rPr>
          <w:rFonts w:asciiTheme="minorHAnsi" w:eastAsia="Calibri" w:hAnsiTheme="minorHAnsi"/>
          <w:sz w:val="22"/>
          <w:szCs w:val="22"/>
          <w:lang w:eastAsia="en-US"/>
        </w:rPr>
      </w:pPr>
    </w:p>
    <w:p w:rsidR="007C0252" w:rsidRDefault="007C0252" w:rsidP="00D62BA9">
      <w:pPr>
        <w:spacing w:after="100" w:afterAutospacing="1"/>
        <w:contextualSpacing/>
        <w:jc w:val="both"/>
        <w:rPr>
          <w:rFonts w:asciiTheme="minorHAnsi" w:eastAsia="Calibri" w:hAnsiTheme="minorHAnsi"/>
          <w:sz w:val="22"/>
          <w:szCs w:val="22"/>
          <w:lang w:eastAsia="en-US"/>
        </w:rPr>
      </w:pPr>
    </w:p>
    <w:p w:rsidR="007C0252" w:rsidRDefault="007C0252" w:rsidP="00D62BA9">
      <w:pPr>
        <w:spacing w:after="100" w:afterAutospacing="1"/>
        <w:contextualSpacing/>
        <w:jc w:val="both"/>
        <w:rPr>
          <w:rFonts w:asciiTheme="minorHAnsi" w:eastAsia="Calibri" w:hAnsiTheme="minorHAnsi"/>
          <w:sz w:val="22"/>
          <w:szCs w:val="22"/>
          <w:lang w:eastAsia="en-US"/>
        </w:rPr>
      </w:pPr>
    </w:p>
    <w:p w:rsidR="007C0252" w:rsidRPr="001A3152" w:rsidRDefault="007C0252" w:rsidP="00D62BA9">
      <w:pPr>
        <w:spacing w:after="100" w:afterAutospacing="1"/>
        <w:contextualSpacing/>
        <w:jc w:val="both"/>
        <w:rPr>
          <w:rFonts w:asciiTheme="minorHAnsi" w:eastAsia="Calibri" w:hAnsiTheme="minorHAnsi"/>
          <w:sz w:val="22"/>
          <w:szCs w:val="22"/>
          <w:lang w:eastAsia="en-US"/>
        </w:rPr>
      </w:pP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p>
    <w:p w:rsidR="001A3152" w:rsidRDefault="00025615" w:rsidP="001A3152">
      <w:pPr>
        <w:spacing w:after="100" w:afterAutospacing="1"/>
        <w:contextualSpacing/>
        <w:jc w:val="both"/>
        <w:rPr>
          <w:rFonts w:asciiTheme="minorHAnsi" w:eastAsia="Calibri" w:hAnsiTheme="minorHAnsi"/>
          <w:b/>
          <w:sz w:val="22"/>
          <w:szCs w:val="22"/>
          <w:lang w:eastAsia="en-US"/>
        </w:rPr>
      </w:pPr>
      <w:r>
        <w:rPr>
          <w:rFonts w:asciiTheme="minorHAnsi" w:eastAsia="Calibri" w:hAnsiTheme="minorHAnsi"/>
          <w:b/>
          <w:sz w:val="22"/>
          <w:szCs w:val="22"/>
          <w:lang w:eastAsia="en-US"/>
        </w:rPr>
        <w:t>Tabla No. 1</w:t>
      </w:r>
      <w:r w:rsidR="001A3152" w:rsidRPr="001A3152">
        <w:rPr>
          <w:rFonts w:asciiTheme="minorHAnsi" w:eastAsia="Calibri" w:hAnsiTheme="minorHAnsi"/>
          <w:b/>
          <w:sz w:val="22"/>
          <w:szCs w:val="22"/>
          <w:lang w:eastAsia="en-US"/>
        </w:rPr>
        <w:t>.1.</w:t>
      </w:r>
      <w:r w:rsidR="001A3152">
        <w:rPr>
          <w:rFonts w:asciiTheme="minorHAnsi" w:eastAsia="Calibri" w:hAnsiTheme="minorHAnsi"/>
          <w:b/>
          <w:sz w:val="22"/>
          <w:szCs w:val="22"/>
          <w:lang w:eastAsia="en-US"/>
        </w:rPr>
        <w:t xml:space="preserve"> </w:t>
      </w:r>
      <w:r w:rsidR="007C0252">
        <w:rPr>
          <w:rFonts w:asciiTheme="minorHAnsi" w:eastAsia="Calibri" w:hAnsiTheme="minorHAnsi"/>
          <w:b/>
          <w:sz w:val="22"/>
          <w:szCs w:val="22"/>
          <w:lang w:eastAsia="en-US"/>
        </w:rPr>
        <w:t>Comparación</w:t>
      </w:r>
      <w:r w:rsidR="001A3152" w:rsidRPr="001A3152">
        <w:rPr>
          <w:rFonts w:asciiTheme="minorHAnsi" w:eastAsia="Calibri" w:hAnsiTheme="minorHAnsi"/>
          <w:b/>
          <w:sz w:val="22"/>
          <w:szCs w:val="22"/>
          <w:lang w:eastAsia="en-US"/>
        </w:rPr>
        <w:t xml:space="preserve"> petróleo</w:t>
      </w:r>
      <w:r w:rsidR="007C0252">
        <w:rPr>
          <w:rFonts w:asciiTheme="minorHAnsi" w:eastAsia="Calibri" w:hAnsiTheme="minorHAnsi"/>
          <w:b/>
          <w:sz w:val="22"/>
          <w:szCs w:val="22"/>
          <w:lang w:eastAsia="en-US"/>
        </w:rPr>
        <w:t xml:space="preserve"> en el mundo, OPEP y Venezuela entre 1998 y 2015</w:t>
      </w:r>
    </w:p>
    <w:p w:rsidR="007C0252" w:rsidRPr="001A3152" w:rsidRDefault="007C0252" w:rsidP="001A3152">
      <w:pPr>
        <w:spacing w:after="100" w:afterAutospacing="1"/>
        <w:contextualSpacing/>
        <w:jc w:val="both"/>
        <w:rPr>
          <w:rFonts w:asciiTheme="minorHAnsi" w:eastAsia="Calibri" w:hAnsiTheme="minorHAnsi"/>
          <w:b/>
          <w:sz w:val="22"/>
          <w:szCs w:val="22"/>
          <w:lang w:eastAsia="en-US"/>
        </w:rPr>
      </w:pPr>
    </w:p>
    <w:tbl>
      <w:tblPr>
        <w:tblStyle w:val="GridTable5Dark-Accent1"/>
        <w:tblW w:w="0" w:type="auto"/>
        <w:tblLook w:val="04A0" w:firstRow="1" w:lastRow="0" w:firstColumn="1" w:lastColumn="0" w:noHBand="0" w:noVBand="1"/>
      </w:tblPr>
      <w:tblGrid>
        <w:gridCol w:w="5334"/>
        <w:gridCol w:w="1949"/>
        <w:gridCol w:w="1545"/>
      </w:tblGrid>
      <w:tr w:rsidR="001A3152" w:rsidRPr="001A3152" w:rsidTr="000E25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0E254A">
            <w:pPr>
              <w:spacing w:after="100" w:afterAutospacing="1"/>
              <w:contextualSpacing/>
              <w:jc w:val="center"/>
              <w:rPr>
                <w:rFonts w:asciiTheme="minorHAnsi" w:eastAsia="Calibri" w:hAnsiTheme="minorHAnsi"/>
                <w:sz w:val="22"/>
                <w:szCs w:val="22"/>
                <w:lang w:eastAsia="en-US"/>
              </w:rPr>
            </w:pPr>
            <w:r w:rsidRPr="000E254A">
              <w:rPr>
                <w:rFonts w:asciiTheme="minorHAnsi" w:eastAsia="Calibri" w:hAnsiTheme="minorHAnsi"/>
                <w:sz w:val="22"/>
                <w:szCs w:val="22"/>
                <w:lang w:eastAsia="en-US"/>
              </w:rPr>
              <w:t>Elementos</w:t>
            </w:r>
          </w:p>
        </w:tc>
        <w:tc>
          <w:tcPr>
            <w:tcW w:w="1984" w:type="dxa"/>
          </w:tcPr>
          <w:p w:rsidR="001A3152" w:rsidRPr="001A3152" w:rsidRDefault="001A3152" w:rsidP="000E254A">
            <w:pPr>
              <w:spacing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sz w:val="22"/>
                <w:szCs w:val="22"/>
                <w:lang w:eastAsia="en-US"/>
              </w:rPr>
            </w:pPr>
            <w:r w:rsidRPr="001A3152">
              <w:rPr>
                <w:rFonts w:asciiTheme="minorHAnsi" w:eastAsia="Calibri" w:hAnsiTheme="minorHAnsi"/>
                <w:sz w:val="22"/>
                <w:szCs w:val="22"/>
                <w:lang w:eastAsia="en-US"/>
              </w:rPr>
              <w:t>1998</w:t>
            </w:r>
          </w:p>
        </w:tc>
        <w:tc>
          <w:tcPr>
            <w:tcW w:w="1560" w:type="dxa"/>
          </w:tcPr>
          <w:p w:rsidR="001A3152" w:rsidRPr="001A3152" w:rsidRDefault="001A3152" w:rsidP="000E254A">
            <w:pPr>
              <w:spacing w:after="100" w:afterAutospacing="1"/>
              <w:contextualSpacing/>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b w:val="0"/>
                <w:sz w:val="22"/>
                <w:szCs w:val="22"/>
                <w:lang w:eastAsia="en-US"/>
              </w:rPr>
            </w:pPr>
            <w:r w:rsidRPr="001A3152">
              <w:rPr>
                <w:rFonts w:asciiTheme="minorHAnsi" w:eastAsia="Calibri" w:hAnsiTheme="minorHAnsi"/>
                <w:sz w:val="22"/>
                <w:szCs w:val="22"/>
                <w:lang w:eastAsia="en-US"/>
              </w:rPr>
              <w:t>2015</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Mundo: Producción de petróleo en barriles diarios (BD)</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65.273.000</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75.080.000</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OPEP: Producción de petróleo (BD)</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27.739.000</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32.315.000</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Producción de petróleo (BD)</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3.329.096</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2.654.000</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Producción de petróleo por gravedad API</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25,0</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19,5</w:t>
            </w:r>
            <w:r w:rsidRPr="001A3152">
              <w:rPr>
                <w:rFonts w:asciiTheme="minorHAnsi" w:eastAsia="Calibri" w:hAnsiTheme="minorHAnsi"/>
                <w:sz w:val="22"/>
                <w:szCs w:val="22"/>
                <w:vertAlign w:val="superscript"/>
                <w:lang w:eastAsia="en-US"/>
              </w:rPr>
              <w:t>1/</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Venezuela/Mundo: Producción de petróleo (%)</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5,1</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3,53</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Venezuela/OPEP: Producción de petróleo (%)</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12</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8,21</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Consumo interno de productos refinados (BD)</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441.710</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580.000</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Exportación de petróleo y productos (BD)</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3.081.600</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2.292.000</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Costo unitario promedio de producción de petróleo (US$/barril)</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5,16</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11,47</w:t>
            </w:r>
            <w:r w:rsidRPr="001A3152">
              <w:rPr>
                <w:rFonts w:asciiTheme="minorHAnsi" w:eastAsia="Calibri" w:hAnsiTheme="minorHAnsi"/>
                <w:sz w:val="22"/>
                <w:szCs w:val="22"/>
                <w:vertAlign w:val="superscript"/>
                <w:lang w:eastAsia="en-US"/>
              </w:rPr>
              <w:t>1/</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Precio promedio de exportación de petróleo y productos (US$/barril)</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10,57</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44,65</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Ingresos por exportación de petróleo (Millones de US$)</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11.889</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37.353</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Ingresos por ventas de productos refinados en el país (Millones de Bs)</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615</w:t>
            </w:r>
            <w:r w:rsidRPr="001A3152">
              <w:rPr>
                <w:rFonts w:asciiTheme="minorHAnsi" w:eastAsia="Calibri" w:hAnsiTheme="minorHAnsi"/>
                <w:sz w:val="22"/>
                <w:szCs w:val="22"/>
                <w:vertAlign w:val="superscript"/>
                <w:lang w:eastAsia="en-US"/>
              </w:rPr>
              <w:t>2/</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9.117</w:t>
            </w:r>
            <w:r w:rsidRPr="001A3152">
              <w:rPr>
                <w:rFonts w:asciiTheme="minorHAnsi" w:eastAsia="Calibri" w:hAnsiTheme="minorHAnsi"/>
                <w:sz w:val="22"/>
                <w:szCs w:val="22"/>
                <w:vertAlign w:val="superscript"/>
                <w:lang w:eastAsia="en-US"/>
              </w:rPr>
              <w:t>2/</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Trabajadores del sector petrolero (Número)</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40.385</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113.153</w:t>
            </w:r>
            <w:r w:rsidRPr="001A3152">
              <w:rPr>
                <w:rFonts w:asciiTheme="minorHAnsi" w:eastAsia="Calibri" w:hAnsiTheme="minorHAnsi"/>
                <w:sz w:val="22"/>
                <w:szCs w:val="22"/>
                <w:vertAlign w:val="superscript"/>
                <w:lang w:eastAsia="en-US"/>
              </w:rPr>
              <w:t>3/</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Tipo de Cambio Promedio (Bs/$)</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545,80</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6,29</w:t>
            </w:r>
            <w:r w:rsidRPr="001A3152">
              <w:rPr>
                <w:rFonts w:asciiTheme="minorHAnsi" w:eastAsia="Calibri" w:hAnsiTheme="minorHAnsi"/>
                <w:sz w:val="22"/>
                <w:szCs w:val="22"/>
                <w:vertAlign w:val="superscript"/>
                <w:lang w:eastAsia="en-US"/>
              </w:rPr>
              <w:t>2/</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Total de ingresos de la industria petrolera y petroquímica (Millones de Bs. a precios corrientes)</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13.943</w:t>
            </w:r>
            <w:r w:rsidRPr="001A3152">
              <w:rPr>
                <w:rFonts w:asciiTheme="minorHAnsi" w:eastAsia="Calibri" w:hAnsiTheme="minorHAnsi"/>
                <w:sz w:val="22"/>
                <w:szCs w:val="22"/>
                <w:vertAlign w:val="superscript"/>
                <w:lang w:eastAsia="en-US"/>
              </w:rPr>
              <w:t>2/</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4.962.341</w:t>
            </w:r>
            <w:r w:rsidRPr="001A3152">
              <w:rPr>
                <w:rFonts w:asciiTheme="minorHAnsi" w:eastAsia="Calibri" w:hAnsiTheme="minorHAnsi"/>
                <w:sz w:val="22"/>
                <w:szCs w:val="22"/>
                <w:vertAlign w:val="superscript"/>
                <w:lang w:eastAsia="en-US"/>
              </w:rPr>
              <w:t>2/</w:t>
            </w:r>
          </w:p>
        </w:tc>
        <w:bookmarkStart w:id="0" w:name="_GoBack"/>
        <w:bookmarkEnd w:id="0"/>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Total de ingresos de la industria petrolera y petroquímica (Millones de Bs. a precios constantes de 2007)</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69.368,16</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213.768,70</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Total de ingresos de la industria petrolera y petroquímica (Millones de $) (para 2015 incluye todas las filiales)</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25.546</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453.943</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Venezuela: Impuesto sobre la Renta de la Industria Petrolera (Millones de Bs. a precios corrientes)</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704</w:t>
            </w:r>
            <w:r w:rsidRPr="001A3152">
              <w:rPr>
                <w:rFonts w:asciiTheme="minorHAnsi" w:eastAsia="Calibri" w:hAnsiTheme="minorHAnsi"/>
                <w:sz w:val="22"/>
                <w:szCs w:val="22"/>
                <w:vertAlign w:val="superscript"/>
                <w:lang w:eastAsia="en-US"/>
              </w:rPr>
              <w:t>2/</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41.892</w:t>
            </w:r>
            <w:r w:rsidRPr="001A3152">
              <w:rPr>
                <w:rFonts w:asciiTheme="minorHAnsi" w:eastAsia="Calibri" w:hAnsiTheme="minorHAnsi"/>
                <w:sz w:val="22"/>
                <w:szCs w:val="22"/>
                <w:vertAlign w:val="superscript"/>
                <w:lang w:eastAsia="en-US"/>
              </w:rPr>
              <w:t>2/</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vertAlign w:val="superscript"/>
                <w:lang w:eastAsia="en-US"/>
              </w:rPr>
            </w:pPr>
            <w:r w:rsidRPr="000E254A">
              <w:rPr>
                <w:rFonts w:asciiTheme="minorHAnsi" w:eastAsia="Calibri" w:hAnsiTheme="minorHAnsi"/>
                <w:b w:val="0"/>
                <w:sz w:val="22"/>
                <w:szCs w:val="22"/>
                <w:lang w:eastAsia="en-US"/>
              </w:rPr>
              <w:t>Venezuela: Impuesto sobre la Renta de la Industria Petrolera (Millones de Bs. a precios constantes de 2007)</w:t>
            </w:r>
            <w:r w:rsidRPr="000E254A">
              <w:rPr>
                <w:rFonts w:asciiTheme="minorHAnsi" w:eastAsia="Calibri" w:hAnsiTheme="minorHAnsi"/>
                <w:b w:val="0"/>
                <w:sz w:val="22"/>
                <w:szCs w:val="22"/>
                <w:vertAlign w:val="superscript"/>
                <w:lang w:eastAsia="en-US"/>
              </w:rPr>
              <w:t>5</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3.502,49</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1.804,63</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Regalía de la Industria Petrolera (Millones de Bs. corrientes)</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1.134</w:t>
            </w:r>
            <w:r w:rsidRPr="001A3152">
              <w:rPr>
                <w:rFonts w:asciiTheme="minorHAnsi" w:eastAsia="Calibri" w:hAnsiTheme="minorHAnsi"/>
                <w:sz w:val="22"/>
                <w:szCs w:val="22"/>
                <w:vertAlign w:val="superscript"/>
                <w:lang w:eastAsia="en-US"/>
              </w:rPr>
              <w:t>2/</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71.312</w:t>
            </w:r>
            <w:r w:rsidRPr="001A3152">
              <w:rPr>
                <w:rFonts w:asciiTheme="minorHAnsi" w:eastAsia="Calibri" w:hAnsiTheme="minorHAnsi"/>
                <w:sz w:val="22"/>
                <w:szCs w:val="22"/>
                <w:vertAlign w:val="superscript"/>
                <w:lang w:eastAsia="en-US"/>
              </w:rPr>
              <w:t>2/</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vertAlign w:val="superscript"/>
                <w:lang w:eastAsia="en-US"/>
              </w:rPr>
            </w:pPr>
            <w:r w:rsidRPr="000E254A">
              <w:rPr>
                <w:rFonts w:asciiTheme="minorHAnsi" w:eastAsia="Calibri" w:hAnsiTheme="minorHAnsi"/>
                <w:b w:val="0"/>
                <w:sz w:val="22"/>
                <w:szCs w:val="22"/>
                <w:lang w:eastAsia="en-US"/>
              </w:rPr>
              <w:t>Regalía de la Industria Petrolera (Millones de Bs. a precios constantes de 2007)</w:t>
            </w:r>
            <w:r w:rsidRPr="000E254A">
              <w:rPr>
                <w:rFonts w:asciiTheme="minorHAnsi" w:eastAsia="Calibri" w:hAnsiTheme="minorHAnsi"/>
                <w:b w:val="0"/>
                <w:sz w:val="22"/>
                <w:szCs w:val="22"/>
                <w:vertAlign w:val="superscript"/>
                <w:lang w:eastAsia="en-US"/>
              </w:rPr>
              <w:t>5</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5.641,79</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3.071,99</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Otros Impuestos Generados por la Industria Petrolera (Millones de Bs. corrientes)</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665</w:t>
            </w:r>
            <w:r w:rsidRPr="001A3152">
              <w:rPr>
                <w:rFonts w:asciiTheme="minorHAnsi" w:eastAsia="Calibri" w:hAnsiTheme="minorHAnsi"/>
                <w:sz w:val="22"/>
                <w:szCs w:val="22"/>
                <w:vertAlign w:val="superscript"/>
                <w:lang w:eastAsia="en-US"/>
              </w:rPr>
              <w:t>2/</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9.081</w:t>
            </w:r>
            <w:r w:rsidRPr="001A3152">
              <w:rPr>
                <w:rFonts w:asciiTheme="minorHAnsi" w:eastAsia="Calibri" w:hAnsiTheme="minorHAnsi"/>
                <w:sz w:val="22"/>
                <w:szCs w:val="22"/>
                <w:vertAlign w:val="superscript"/>
                <w:lang w:eastAsia="en-US"/>
              </w:rPr>
              <w:t>2/</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vertAlign w:val="superscript"/>
                <w:lang w:eastAsia="en-US"/>
              </w:rPr>
            </w:pPr>
            <w:r w:rsidRPr="000E254A">
              <w:rPr>
                <w:rFonts w:asciiTheme="minorHAnsi" w:eastAsia="Calibri" w:hAnsiTheme="minorHAnsi"/>
                <w:b w:val="0"/>
                <w:sz w:val="22"/>
                <w:szCs w:val="22"/>
                <w:lang w:eastAsia="en-US"/>
              </w:rPr>
              <w:t>Otros Impuestos Generados por la Industria Petrolera (Millones de Bs. a precios constantes de 2007)</w:t>
            </w:r>
            <w:r w:rsidRPr="000E254A">
              <w:rPr>
                <w:rFonts w:asciiTheme="minorHAnsi" w:eastAsia="Calibri" w:hAnsiTheme="minorHAnsi"/>
                <w:b w:val="0"/>
                <w:sz w:val="22"/>
                <w:szCs w:val="22"/>
                <w:vertAlign w:val="superscript"/>
                <w:lang w:eastAsia="en-US"/>
              </w:rPr>
              <w:t>5</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3.308,46</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391,19</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Participación Fiscal Causada de la Industria Petrolera ( MM Bs. a precios corrientes)</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2.503</w:t>
            </w:r>
            <w:r w:rsidRPr="001A3152">
              <w:rPr>
                <w:rFonts w:asciiTheme="minorHAnsi" w:eastAsia="Calibri" w:hAnsiTheme="minorHAnsi"/>
                <w:sz w:val="22"/>
                <w:szCs w:val="22"/>
                <w:vertAlign w:val="superscript"/>
                <w:lang w:eastAsia="en-US"/>
              </w:rPr>
              <w:t>2/</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vertAlign w:val="superscript"/>
                <w:lang w:eastAsia="en-US"/>
              </w:rPr>
            </w:pPr>
            <w:r w:rsidRPr="001A3152">
              <w:rPr>
                <w:rFonts w:asciiTheme="minorHAnsi" w:eastAsia="Calibri" w:hAnsiTheme="minorHAnsi"/>
                <w:sz w:val="22"/>
                <w:szCs w:val="22"/>
                <w:lang w:eastAsia="en-US"/>
              </w:rPr>
              <w:t>122.285</w:t>
            </w:r>
            <w:r w:rsidRPr="001A3152">
              <w:rPr>
                <w:rFonts w:asciiTheme="minorHAnsi" w:eastAsia="Calibri" w:hAnsiTheme="minorHAnsi"/>
                <w:sz w:val="22"/>
                <w:szCs w:val="22"/>
                <w:vertAlign w:val="superscript"/>
                <w:lang w:eastAsia="en-US"/>
              </w:rPr>
              <w:t>2/</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vertAlign w:val="superscript"/>
                <w:lang w:eastAsia="en-US"/>
              </w:rPr>
            </w:pPr>
            <w:r w:rsidRPr="000E254A">
              <w:rPr>
                <w:rFonts w:asciiTheme="minorHAnsi" w:eastAsia="Calibri" w:hAnsiTheme="minorHAnsi"/>
                <w:b w:val="0"/>
                <w:sz w:val="22"/>
                <w:szCs w:val="22"/>
                <w:lang w:eastAsia="en-US"/>
              </w:rPr>
              <w:t>Participación Fiscal Causada de la Industria Petrolera ( MM Bs. a precios constantes de 2007)</w:t>
            </w:r>
            <w:r w:rsidRPr="000E254A">
              <w:rPr>
                <w:rFonts w:asciiTheme="minorHAnsi" w:eastAsia="Calibri" w:hAnsiTheme="minorHAnsi"/>
                <w:b w:val="0"/>
                <w:sz w:val="22"/>
                <w:szCs w:val="22"/>
                <w:vertAlign w:val="superscript"/>
                <w:lang w:eastAsia="en-US"/>
              </w:rPr>
              <w:t>5</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12.452,74</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5.267,82</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lastRenderedPageBreak/>
              <w:t>Participación Fiscal Causada ($)</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4.586</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31.483</w:t>
            </w:r>
            <w:r w:rsidRPr="001A3152">
              <w:rPr>
                <w:rFonts w:asciiTheme="minorHAnsi" w:eastAsia="Calibri" w:hAnsiTheme="minorHAnsi"/>
                <w:sz w:val="22"/>
                <w:szCs w:val="22"/>
                <w:vertAlign w:val="superscript"/>
                <w:lang w:eastAsia="en-US"/>
              </w:rPr>
              <w:t>1/2/4/</w:t>
            </w:r>
          </w:p>
        </w:tc>
      </w:tr>
      <w:tr w:rsidR="001A3152" w:rsidRPr="001A3152" w:rsidTr="000E25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Desembolsos por inversiones Netas (Millones de Bs)</w:t>
            </w:r>
          </w:p>
        </w:tc>
        <w:tc>
          <w:tcPr>
            <w:tcW w:w="1984"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2.860</w:t>
            </w:r>
            <w:r w:rsidRPr="001A3152">
              <w:rPr>
                <w:rFonts w:asciiTheme="minorHAnsi" w:eastAsia="Calibri" w:hAnsiTheme="minorHAnsi"/>
                <w:sz w:val="22"/>
                <w:szCs w:val="22"/>
                <w:vertAlign w:val="superscript"/>
                <w:lang w:eastAsia="en-US"/>
              </w:rPr>
              <w:t>2/</w:t>
            </w:r>
          </w:p>
        </w:tc>
        <w:tc>
          <w:tcPr>
            <w:tcW w:w="1560" w:type="dxa"/>
          </w:tcPr>
          <w:p w:rsidR="001A3152" w:rsidRPr="001A3152" w:rsidRDefault="001A3152" w:rsidP="001A3152">
            <w:pPr>
              <w:spacing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n.d.</w:t>
            </w:r>
          </w:p>
        </w:tc>
      </w:tr>
      <w:tr w:rsidR="001A3152" w:rsidRPr="001A3152" w:rsidTr="000E254A">
        <w:tc>
          <w:tcPr>
            <w:cnfStyle w:val="001000000000" w:firstRow="0" w:lastRow="0" w:firstColumn="1" w:lastColumn="0" w:oddVBand="0" w:evenVBand="0" w:oddHBand="0" w:evenHBand="0" w:firstRowFirstColumn="0" w:firstRowLastColumn="0" w:lastRowFirstColumn="0" w:lastRowLastColumn="0"/>
            <w:tcW w:w="5495" w:type="dxa"/>
          </w:tcPr>
          <w:p w:rsidR="001A3152" w:rsidRPr="000E254A" w:rsidRDefault="001A3152" w:rsidP="001A3152">
            <w:pPr>
              <w:spacing w:after="100" w:afterAutospacing="1"/>
              <w:contextualSpacing/>
              <w:jc w:val="both"/>
              <w:rPr>
                <w:rFonts w:asciiTheme="minorHAnsi" w:eastAsia="Calibri" w:hAnsiTheme="minorHAnsi"/>
                <w:b w:val="0"/>
                <w:sz w:val="22"/>
                <w:szCs w:val="22"/>
                <w:lang w:eastAsia="en-US"/>
              </w:rPr>
            </w:pPr>
            <w:r w:rsidRPr="000E254A">
              <w:rPr>
                <w:rFonts w:asciiTheme="minorHAnsi" w:eastAsia="Calibri" w:hAnsiTheme="minorHAnsi"/>
                <w:b w:val="0"/>
                <w:sz w:val="22"/>
                <w:szCs w:val="22"/>
                <w:lang w:eastAsia="en-US"/>
              </w:rPr>
              <w:t>Desembolsos por inversiones Netas (Millones de $)</w:t>
            </w:r>
          </w:p>
        </w:tc>
        <w:tc>
          <w:tcPr>
            <w:tcW w:w="1984"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5.239</w:t>
            </w:r>
          </w:p>
        </w:tc>
        <w:tc>
          <w:tcPr>
            <w:tcW w:w="1560" w:type="dxa"/>
          </w:tcPr>
          <w:p w:rsidR="001A3152" w:rsidRPr="001A3152" w:rsidRDefault="001A3152" w:rsidP="001A3152">
            <w:pPr>
              <w:spacing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22"/>
                <w:szCs w:val="22"/>
                <w:lang w:eastAsia="en-US"/>
              </w:rPr>
            </w:pPr>
            <w:r w:rsidRPr="001A3152">
              <w:rPr>
                <w:rFonts w:asciiTheme="minorHAnsi" w:eastAsia="Calibri" w:hAnsiTheme="minorHAnsi"/>
                <w:sz w:val="22"/>
                <w:szCs w:val="22"/>
                <w:lang w:eastAsia="en-US"/>
              </w:rPr>
              <w:t>17.355</w:t>
            </w:r>
          </w:p>
        </w:tc>
      </w:tr>
    </w:tbl>
    <w:p w:rsidR="001A3152" w:rsidRPr="001A3152" w:rsidRDefault="001A3152" w:rsidP="001A3152">
      <w:pPr>
        <w:spacing w:after="100" w:afterAutospacing="1"/>
        <w:contextualSpacing/>
        <w:jc w:val="both"/>
        <w:rPr>
          <w:rFonts w:asciiTheme="minorHAnsi" w:eastAsia="Calibri" w:hAnsiTheme="minorHAnsi"/>
          <w:sz w:val="22"/>
          <w:szCs w:val="22"/>
          <w:lang w:eastAsia="en-US"/>
        </w:rPr>
      </w:pPr>
      <w:r w:rsidRPr="001A3152">
        <w:rPr>
          <w:rFonts w:asciiTheme="minorHAnsi" w:eastAsia="Calibri" w:hAnsiTheme="minorHAnsi"/>
          <w:b/>
          <w:sz w:val="22"/>
          <w:szCs w:val="22"/>
          <w:lang w:eastAsia="en-US"/>
        </w:rPr>
        <w:t xml:space="preserve">Notas: </w:t>
      </w:r>
      <w:r w:rsidRPr="001A3152">
        <w:rPr>
          <w:rFonts w:asciiTheme="minorHAnsi" w:eastAsia="Calibri" w:hAnsiTheme="minorHAnsi"/>
          <w:sz w:val="22"/>
          <w:szCs w:val="22"/>
          <w:vertAlign w:val="superscript"/>
          <w:lang w:eastAsia="en-US"/>
        </w:rPr>
        <w:t>1/</w:t>
      </w:r>
      <w:r w:rsidRPr="001A3152">
        <w:rPr>
          <w:rFonts w:asciiTheme="minorHAnsi" w:eastAsia="Calibri" w:hAnsiTheme="minorHAnsi"/>
          <w:sz w:val="22"/>
          <w:szCs w:val="22"/>
          <w:lang w:eastAsia="en-US"/>
        </w:rPr>
        <w:t>Cifra de 2013 (PODE).</w:t>
      </w:r>
      <w:r w:rsidRPr="001A3152">
        <w:rPr>
          <w:rFonts w:asciiTheme="minorHAnsi" w:eastAsia="Calibri" w:hAnsiTheme="minorHAnsi"/>
          <w:sz w:val="22"/>
          <w:szCs w:val="22"/>
          <w:vertAlign w:val="superscript"/>
          <w:lang w:eastAsia="en-US"/>
        </w:rPr>
        <w:t>2/</w:t>
      </w:r>
      <w:r w:rsidRPr="001A3152">
        <w:rPr>
          <w:rFonts w:asciiTheme="minorHAnsi" w:eastAsia="Calibri" w:hAnsiTheme="minorHAnsi"/>
          <w:sz w:val="22"/>
          <w:szCs w:val="22"/>
          <w:lang w:eastAsia="en-US"/>
        </w:rPr>
        <w:t>Con la reconversión monetaria del 1.01.2008: 1.000 bolívares de entonces equivalen a 1 bolívar fuerte y las cifras se expresan en bolívares fuertes.</w:t>
      </w:r>
      <w:r w:rsidRPr="001A3152">
        <w:rPr>
          <w:rFonts w:asciiTheme="minorHAnsi" w:eastAsia="Calibri" w:hAnsiTheme="minorHAnsi"/>
          <w:sz w:val="22"/>
          <w:szCs w:val="22"/>
          <w:vertAlign w:val="superscript"/>
          <w:lang w:eastAsia="en-US"/>
        </w:rPr>
        <w:t>3/</w:t>
      </w:r>
      <w:r w:rsidRPr="001A3152">
        <w:rPr>
          <w:rFonts w:asciiTheme="minorHAnsi" w:eastAsia="Calibri" w:hAnsiTheme="minorHAnsi"/>
          <w:sz w:val="22"/>
          <w:szCs w:val="22"/>
          <w:lang w:eastAsia="en-US"/>
        </w:rPr>
        <w:t>2016 (</w:t>
      </w:r>
      <w:r w:rsidRPr="001A3152">
        <w:rPr>
          <w:rFonts w:asciiTheme="minorHAnsi" w:eastAsia="Calibri" w:hAnsiTheme="minorHAnsi"/>
          <w:bCs/>
          <w:sz w:val="22"/>
          <w:szCs w:val="22"/>
          <w:lang w:eastAsia="en-US"/>
        </w:rPr>
        <w:t>GO Extraordinaria 6.261 de 5 de octubre de 2016</w:t>
      </w:r>
      <w:r w:rsidRPr="001A3152">
        <w:rPr>
          <w:rFonts w:asciiTheme="minorHAnsi" w:eastAsia="Calibri" w:hAnsiTheme="minorHAnsi"/>
          <w:sz w:val="22"/>
          <w:szCs w:val="22"/>
          <w:lang w:eastAsia="en-US"/>
        </w:rPr>
        <w:t>).</w:t>
      </w:r>
      <w:r w:rsidRPr="001A3152">
        <w:rPr>
          <w:rFonts w:asciiTheme="minorHAnsi" w:eastAsia="Calibri" w:hAnsiTheme="minorHAnsi"/>
          <w:sz w:val="22"/>
          <w:szCs w:val="22"/>
          <w:vertAlign w:val="superscript"/>
          <w:lang w:eastAsia="en-US"/>
        </w:rPr>
        <w:t>4/</w:t>
      </w:r>
      <w:r w:rsidRPr="001A3152">
        <w:rPr>
          <w:rFonts w:asciiTheme="minorHAnsi" w:eastAsia="Calibri" w:hAnsiTheme="minorHAnsi"/>
          <w:sz w:val="22"/>
          <w:szCs w:val="22"/>
          <w:lang w:eastAsia="en-US"/>
        </w:rPr>
        <w:t xml:space="preserve"> Suma de “regalía, impuesto de extracción y otros impuestos” más “gasto de  impuesto corriente”, sin incluir “aportes y contribuciones para el desarrollo social” (Bs. 79.206 millones, equivalentes a $ 13.006 millones). </w:t>
      </w:r>
      <w:r w:rsidRPr="001A3152">
        <w:rPr>
          <w:rFonts w:asciiTheme="minorHAnsi" w:eastAsia="Calibri" w:hAnsiTheme="minorHAnsi"/>
          <w:sz w:val="22"/>
          <w:szCs w:val="22"/>
          <w:vertAlign w:val="superscript"/>
          <w:lang w:eastAsia="en-US"/>
        </w:rPr>
        <w:t xml:space="preserve">5/ </w:t>
      </w:r>
      <w:r w:rsidRPr="001A3152">
        <w:rPr>
          <w:rFonts w:asciiTheme="minorHAnsi" w:eastAsia="Calibri" w:hAnsiTheme="minorHAnsi"/>
          <w:sz w:val="22"/>
          <w:szCs w:val="22"/>
          <w:lang w:eastAsia="en-US"/>
        </w:rPr>
        <w:t>El cálculo a precios constantes se hizo dividiendo los montos en bolívares entre el Índice de Precios al Consumidor del área metropolitana de Caracas del año respectivo, tomando la serie base de 2007. n.d. No disponible.</w:t>
      </w:r>
    </w:p>
    <w:p w:rsidR="001A3152" w:rsidRPr="001A3152" w:rsidRDefault="001A3152" w:rsidP="001A3152">
      <w:pPr>
        <w:spacing w:after="100" w:afterAutospacing="1"/>
        <w:contextualSpacing/>
        <w:jc w:val="both"/>
        <w:rPr>
          <w:rFonts w:asciiTheme="minorHAnsi" w:eastAsia="Calibri" w:hAnsiTheme="minorHAnsi"/>
          <w:b/>
          <w:sz w:val="22"/>
          <w:szCs w:val="22"/>
          <w:lang w:eastAsia="en-US"/>
        </w:rPr>
      </w:pPr>
    </w:p>
    <w:p w:rsidR="001A3152" w:rsidRPr="001A3152" w:rsidRDefault="001A3152" w:rsidP="001A3152">
      <w:pPr>
        <w:spacing w:after="100" w:afterAutospacing="1"/>
        <w:contextualSpacing/>
        <w:jc w:val="both"/>
        <w:rPr>
          <w:rFonts w:asciiTheme="minorHAnsi" w:eastAsia="Calibri" w:hAnsiTheme="minorHAnsi"/>
          <w:sz w:val="22"/>
          <w:szCs w:val="22"/>
          <w:lang w:eastAsia="en-US"/>
        </w:rPr>
      </w:pPr>
      <w:r w:rsidRPr="001A3152">
        <w:rPr>
          <w:rFonts w:asciiTheme="minorHAnsi" w:eastAsia="Calibri" w:hAnsiTheme="minorHAnsi"/>
          <w:b/>
          <w:sz w:val="22"/>
          <w:szCs w:val="22"/>
          <w:lang w:eastAsia="en-US"/>
        </w:rPr>
        <w:t>Fuentes</w:t>
      </w:r>
      <w:r w:rsidRPr="001A3152">
        <w:rPr>
          <w:rFonts w:asciiTheme="minorHAnsi" w:eastAsia="Calibri" w:hAnsiTheme="minorHAnsi"/>
          <w:sz w:val="22"/>
          <w:szCs w:val="22"/>
          <w:lang w:eastAsia="en-US"/>
        </w:rPr>
        <w:t xml:space="preserve">: Elaboración y cálculos de los autores con base en </w:t>
      </w:r>
      <w:r w:rsidRPr="001A3152">
        <w:rPr>
          <w:rFonts w:asciiTheme="minorHAnsi" w:eastAsia="Calibri" w:hAnsiTheme="minorHAnsi"/>
          <w:i/>
          <w:sz w:val="22"/>
          <w:szCs w:val="22"/>
          <w:lang w:eastAsia="en-US"/>
        </w:rPr>
        <w:t>OPEC. Annual Statistical Bulletin, interactive versión</w:t>
      </w:r>
      <w:r w:rsidRPr="001A3152">
        <w:rPr>
          <w:rFonts w:asciiTheme="minorHAnsi" w:eastAsia="Calibri" w:hAnsiTheme="minorHAnsi"/>
          <w:sz w:val="22"/>
          <w:szCs w:val="22"/>
          <w:lang w:eastAsia="en-US"/>
        </w:rPr>
        <w:t xml:space="preserve">, disponible en: </w:t>
      </w:r>
      <w:hyperlink r:id="rId9" w:history="1">
        <w:r w:rsidRPr="001A3152">
          <w:rPr>
            <w:rStyle w:val="Hyperlink"/>
            <w:rFonts w:asciiTheme="minorHAnsi" w:eastAsia="Calibri" w:hAnsiTheme="minorHAnsi"/>
            <w:sz w:val="22"/>
            <w:szCs w:val="22"/>
            <w:lang w:eastAsia="en-US"/>
          </w:rPr>
          <w:t>http://www.opec.org/opec_web/en/publications/202.htm</w:t>
        </w:r>
      </w:hyperlink>
      <w:r w:rsidRPr="001A3152">
        <w:rPr>
          <w:rFonts w:asciiTheme="minorHAnsi" w:eastAsia="Calibri" w:hAnsiTheme="minorHAnsi"/>
          <w:sz w:val="22"/>
          <w:szCs w:val="22"/>
          <w:lang w:eastAsia="en-US"/>
        </w:rPr>
        <w:t xml:space="preserve">; Pdvsa. Estados Financieros Consolidados al 31.12.2015; Ministerio del Poder Popular de Petróleo y Minería (antes Ministerio de Energía y Minas). Pdvsa- Gestión Anual 2015 (disponible en la página WEB de Pdvsa), Informe de los Contadores Públicos Independientes 2015, Petróleo y Otros Datos Estadísticos (PODE). Caracas, 2015 y 1999 y </w:t>
      </w:r>
      <w:r w:rsidRPr="001A3152">
        <w:rPr>
          <w:rFonts w:asciiTheme="minorHAnsi" w:eastAsia="Calibri" w:hAnsiTheme="minorHAnsi"/>
          <w:bCs/>
          <w:sz w:val="22"/>
          <w:szCs w:val="22"/>
          <w:lang w:eastAsia="en-US"/>
        </w:rPr>
        <w:t>Gaceta Oficial Extraordinaria 6.261 de 5 de octubre de 2016</w:t>
      </w:r>
      <w:r w:rsidRPr="001A3152">
        <w:rPr>
          <w:rFonts w:asciiTheme="minorHAnsi" w:eastAsia="Calibri" w:hAnsiTheme="minorHAnsi"/>
          <w:sz w:val="22"/>
          <w:szCs w:val="22"/>
          <w:lang w:eastAsia="en-US"/>
        </w:rPr>
        <w:t>.</w:t>
      </w:r>
    </w:p>
    <w:p w:rsidR="001A3152" w:rsidRPr="001A3152" w:rsidRDefault="001A3152" w:rsidP="00D62BA9">
      <w:pPr>
        <w:spacing w:after="100" w:afterAutospacing="1"/>
        <w:contextualSpacing/>
        <w:jc w:val="both"/>
        <w:rPr>
          <w:rFonts w:asciiTheme="minorHAnsi" w:eastAsia="Calibri" w:hAnsiTheme="minorHAnsi"/>
          <w:sz w:val="22"/>
          <w:szCs w:val="22"/>
          <w:lang w:eastAsia="en-US"/>
        </w:rPr>
      </w:pPr>
    </w:p>
    <w:p w:rsidR="001A3152" w:rsidRPr="007B7503" w:rsidRDefault="00025615" w:rsidP="00D62BA9">
      <w:pPr>
        <w:spacing w:after="100" w:afterAutospacing="1"/>
        <w:contextualSpacing/>
        <w:jc w:val="both"/>
        <w:rPr>
          <w:rFonts w:asciiTheme="minorHAnsi" w:eastAsia="Calibri" w:hAnsiTheme="minorHAnsi"/>
          <w:b/>
          <w:sz w:val="22"/>
          <w:szCs w:val="22"/>
          <w:lang w:eastAsia="en-US"/>
        </w:rPr>
      </w:pPr>
      <w:r w:rsidRPr="007B7503">
        <w:rPr>
          <w:rFonts w:asciiTheme="minorHAnsi" w:eastAsia="Calibri" w:hAnsiTheme="minorHAnsi"/>
          <w:b/>
          <w:sz w:val="22"/>
          <w:szCs w:val="22"/>
          <w:lang w:eastAsia="en-US"/>
        </w:rPr>
        <w:t xml:space="preserve">Un nuevo manejo político y gerencial de la industria petrolera </w:t>
      </w: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r w:rsidRPr="001A3152">
        <w:rPr>
          <w:rFonts w:asciiTheme="minorHAnsi" w:eastAsia="Calibri" w:hAnsiTheme="minorHAnsi"/>
          <w:sz w:val="22"/>
          <w:szCs w:val="22"/>
          <w:lang w:eastAsia="en-US"/>
        </w:rPr>
        <w:t xml:space="preserve">Entre febrero de 1999 y la actualidad, el Ejecutivo Nacional, conducido por la misma tendencia política que, desde la campaña electoral que concluyó con la elección de Hugo Chávez Frías como Presidente de la República de Venezuela, plantea una nueva estrategia en todos los órdenes de la vida nacional, ejecutada prácticamente desde su toma de posesión con la promulgación de una nueva Constitución (1999), que logra una nueva estructura organizativa de los poderes públicos. </w:t>
      </w: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r w:rsidRPr="001A3152">
        <w:rPr>
          <w:rFonts w:asciiTheme="minorHAnsi" w:eastAsia="Calibri" w:hAnsiTheme="minorHAnsi"/>
          <w:sz w:val="22"/>
          <w:szCs w:val="22"/>
          <w:lang w:eastAsia="en-US"/>
        </w:rPr>
        <w:t>Asimismo, plantea un nuevo manejo político y gerencial de la industria petrolera nacional, que tuvo un punto de inflexión en el año 2002, cuando el Ejecutivo Nacional tomó el control directo de la misma y, en pocos años, pudo eliminar la estructura y el gobierno corporativo precedentes. Sirvan como ejemplo los hechos siguientes: a) Designación simultánea de una misma persona como Ministro de Energía y Minas y Presidente de Pdvsa, puesto que esta situación inédita define un conflicto de intereses: la misma persona que lideriza el Ministerio, órgano encargado de diseñar la política y controlar la gestión de la industria, es al mismo tiempo el Presidente de la empresa, órgano encargado de ejecutarla y rendir cuentas al Ministerio, tal como lo expresan los auditores externos en su informe de gestión del 2015 (Informe de Contadores Públicos Independ</w:t>
      </w:r>
      <w:r w:rsidR="00C364FD">
        <w:rPr>
          <w:rFonts w:asciiTheme="minorHAnsi" w:eastAsia="Calibri" w:hAnsiTheme="minorHAnsi"/>
          <w:sz w:val="22"/>
          <w:szCs w:val="22"/>
          <w:lang w:eastAsia="en-US"/>
        </w:rPr>
        <w:t>i</w:t>
      </w:r>
      <w:r w:rsidRPr="001A3152">
        <w:rPr>
          <w:rFonts w:asciiTheme="minorHAnsi" w:eastAsia="Calibri" w:hAnsiTheme="minorHAnsi"/>
          <w:sz w:val="22"/>
          <w:szCs w:val="22"/>
          <w:lang w:eastAsia="en-US"/>
        </w:rPr>
        <w:t>entes sobre el Balance de la Deuda Financiera Consolidada 31/12/2015, página 3 apartado (1);</w:t>
      </w:r>
      <w:r w:rsidR="00C364FD">
        <w:rPr>
          <w:rFonts w:asciiTheme="minorHAnsi" w:eastAsia="Calibri" w:hAnsiTheme="minorHAnsi"/>
          <w:sz w:val="22"/>
          <w:szCs w:val="22"/>
          <w:lang w:eastAsia="en-US"/>
        </w:rPr>
        <w:t xml:space="preserve"> </w:t>
      </w:r>
      <w:r w:rsidRPr="001A3152">
        <w:rPr>
          <w:rFonts w:asciiTheme="minorHAnsi" w:eastAsia="Calibri" w:hAnsiTheme="minorHAnsi"/>
          <w:sz w:val="22"/>
          <w:szCs w:val="22"/>
          <w:lang w:eastAsia="en-US"/>
        </w:rPr>
        <w:t>b) Despido de un alto porcentaje del personal con experiencia y formación en todos los niveles de la empresa y sustitución por personal sin experiencia; c) Incorporación directa a las responsabilidades de Pdvsa de un conjunto de actividades que son competencia exclusiva del gobierno, como adscribir filiales no petroleras a la empresa para financiar directamente y ejecutar políticas y actividades de desarrollo social; y, en consecuencia, d) Incrementar exponencialmente el número de trabajadores no petroleros a Pdvsa.</w:t>
      </w: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r w:rsidRPr="001A3152">
        <w:rPr>
          <w:rFonts w:asciiTheme="minorHAnsi" w:eastAsia="Calibri" w:hAnsiTheme="minorHAnsi"/>
          <w:sz w:val="22"/>
          <w:szCs w:val="22"/>
          <w:lang w:eastAsia="en-US"/>
        </w:rPr>
        <w:t xml:space="preserve">Estos cambios se han traducido en que, algunas de las decisiones de diseño y ejecución de planes de Pdvsa, obedezcan más a objetivos políticos nacionales e internacionales del gobierno que a un manejo eficiente y eficaz de la empresa a fin de garantizar los recursos necesarios para el crecimiento y desarrollo de  nuestra principal industria y del país. A título de ejemplo valga citar tres </w:t>
      </w:r>
      <w:r w:rsidRPr="001A3152">
        <w:rPr>
          <w:rFonts w:asciiTheme="minorHAnsi" w:eastAsia="Calibri" w:hAnsiTheme="minorHAnsi"/>
          <w:sz w:val="22"/>
          <w:szCs w:val="22"/>
          <w:lang w:eastAsia="en-US"/>
        </w:rPr>
        <w:lastRenderedPageBreak/>
        <w:t xml:space="preserve">casos solamente: a) la decisión de obligar a Pdvsa a “vender” petróleo y derivados a gobiernos de países “amigos” en condiciones financieras de muy largo plazo y con bajos intereses, b) la disminución de los niveles de producción de petróleo y c) las erogaciones por decisiones adversas en litigios en instancias internacionales. Estas decisiones han producido problemas de flujo de caja de Pdvsa, obligándola a incrementar en forma importante sus niveles de endeudamiento externo caro por la alta calificación de riesgo de la que es objeto la empresa por parte de las empresas internacionales calificadoras de riesgos; a retrasarse en el cumplimiento de sus compromisos internos y externos y, finalmente, a pérdidas importantes por venta apresurada con descuentos cuantiosos de cuentas por cobrar. </w:t>
      </w: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r w:rsidRPr="001A3152">
        <w:rPr>
          <w:rFonts w:asciiTheme="minorHAnsi" w:eastAsia="Calibri" w:hAnsiTheme="minorHAnsi"/>
          <w:sz w:val="22"/>
          <w:szCs w:val="22"/>
          <w:lang w:eastAsia="en-US"/>
        </w:rPr>
        <w:t xml:space="preserve">Estos planteamientos se evidencian en los Estados Financieros publicados oficialmente en los PODE y en los informes de los auditores internos de los últimos 18 años y se ven reflejados en los cuadros previos de información para el último período de este informe. </w:t>
      </w: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p>
    <w:p w:rsidR="00D62BA9" w:rsidRPr="001A3152" w:rsidRDefault="00D62BA9" w:rsidP="00D62BA9">
      <w:pPr>
        <w:spacing w:after="100" w:afterAutospacing="1"/>
        <w:contextualSpacing/>
        <w:jc w:val="both"/>
        <w:rPr>
          <w:rFonts w:asciiTheme="minorHAnsi" w:eastAsia="Calibri" w:hAnsiTheme="minorHAnsi"/>
          <w:sz w:val="22"/>
          <w:szCs w:val="22"/>
          <w:lang w:eastAsia="en-US"/>
        </w:rPr>
      </w:pPr>
      <w:r w:rsidRPr="001A3152">
        <w:rPr>
          <w:rFonts w:asciiTheme="minorHAnsi" w:eastAsia="Calibri" w:hAnsiTheme="minorHAnsi"/>
          <w:sz w:val="22"/>
          <w:szCs w:val="22"/>
          <w:lang w:eastAsia="en-US"/>
        </w:rPr>
        <w:t>En fin, la decisión reseñada por los auditores externos de la necesidad de reestructurar la información financiera de los ejercicios 2013 y 2014 por entrega de las filiales PDVSA América, S.A.; PDVSA Industrial, S.A.; PDVSA Naval, S.A.; PDVSA Salud, S.A.; PDVSA Agrícola, S.A.; PDVSA Gas Comunal, S.A.; PDVSA Desarrollos Urbanos, S.A. y Empresa Nacional de Transporte, S.A al Accionista (página 142 Pdvsa- Gestión Anual 2015 (disponible en la página WEB de Pdvsa), y pagina 21 Informe de los Contadores Públicos Independientes 2015) puede interpretarse como el reconocimiento del error gerencial de incluir a éstas empresas como filiales de Pdvsa.</w:t>
      </w:r>
    </w:p>
    <w:p w:rsidR="00305A52" w:rsidRPr="001A3152" w:rsidRDefault="00305A52" w:rsidP="00494460">
      <w:pPr>
        <w:spacing w:after="100" w:afterAutospacing="1"/>
        <w:contextualSpacing/>
        <w:jc w:val="both"/>
        <w:rPr>
          <w:rFonts w:asciiTheme="minorHAnsi" w:hAnsiTheme="minorHAnsi"/>
          <w:sz w:val="22"/>
          <w:szCs w:val="22"/>
        </w:rPr>
      </w:pPr>
    </w:p>
    <w:p w:rsidR="00D62BA9" w:rsidRPr="001A3152" w:rsidRDefault="00D62BA9" w:rsidP="00494460">
      <w:pPr>
        <w:spacing w:after="100" w:afterAutospacing="1"/>
        <w:contextualSpacing/>
        <w:jc w:val="both"/>
        <w:rPr>
          <w:rFonts w:asciiTheme="minorHAnsi" w:hAnsiTheme="minorHAnsi"/>
          <w:sz w:val="22"/>
          <w:szCs w:val="22"/>
        </w:rPr>
      </w:pPr>
    </w:p>
    <w:p w:rsidR="001E2373" w:rsidRPr="001A3152" w:rsidRDefault="00025615" w:rsidP="00494460">
      <w:pPr>
        <w:spacing w:after="100" w:afterAutospacing="1"/>
        <w:contextualSpacing/>
        <w:jc w:val="both"/>
        <w:rPr>
          <w:rFonts w:asciiTheme="minorHAnsi" w:hAnsiTheme="minorHAnsi"/>
          <w:sz w:val="22"/>
          <w:szCs w:val="22"/>
        </w:rPr>
      </w:pPr>
      <w:r>
        <w:rPr>
          <w:rFonts w:asciiTheme="minorHAnsi" w:hAnsiTheme="minorHAnsi"/>
          <w:b/>
          <w:sz w:val="22"/>
          <w:szCs w:val="22"/>
        </w:rPr>
        <w:t>1</w:t>
      </w:r>
      <w:r w:rsidR="00494460" w:rsidRPr="001A3152">
        <w:rPr>
          <w:rFonts w:asciiTheme="minorHAnsi" w:hAnsiTheme="minorHAnsi"/>
          <w:b/>
          <w:sz w:val="22"/>
          <w:szCs w:val="22"/>
        </w:rPr>
        <w:t>.2. R</w:t>
      </w:r>
      <w:r w:rsidR="00085AA8" w:rsidRPr="001A3152">
        <w:rPr>
          <w:rFonts w:asciiTheme="minorHAnsi" w:hAnsiTheme="minorHAnsi"/>
          <w:b/>
          <w:sz w:val="22"/>
          <w:szCs w:val="22"/>
        </w:rPr>
        <w:t>esponsables de la gestión, resultados y posible</w:t>
      </w:r>
      <w:r w:rsidR="007C0252">
        <w:rPr>
          <w:rFonts w:asciiTheme="minorHAnsi" w:hAnsiTheme="minorHAnsi"/>
          <w:b/>
          <w:sz w:val="22"/>
          <w:szCs w:val="22"/>
        </w:rPr>
        <w:t>s vínculos con autoridades del E</w:t>
      </w:r>
      <w:r w:rsidR="00085AA8" w:rsidRPr="001A3152">
        <w:rPr>
          <w:rFonts w:asciiTheme="minorHAnsi" w:hAnsiTheme="minorHAnsi"/>
          <w:b/>
          <w:sz w:val="22"/>
          <w:szCs w:val="22"/>
        </w:rPr>
        <w:t>jecutivo o del partido de gobierno</w:t>
      </w:r>
      <w:r w:rsidR="000E020E" w:rsidRPr="001A3152">
        <w:rPr>
          <w:rFonts w:asciiTheme="minorHAnsi" w:hAnsiTheme="minorHAnsi"/>
          <w:b/>
          <w:sz w:val="22"/>
          <w:szCs w:val="22"/>
        </w:rPr>
        <w:t>.</w:t>
      </w:r>
    </w:p>
    <w:p w:rsidR="00793BF7" w:rsidRPr="001A3152" w:rsidRDefault="00793BF7" w:rsidP="000E020E">
      <w:pPr>
        <w:contextualSpacing/>
        <w:jc w:val="both"/>
        <w:rPr>
          <w:rFonts w:asciiTheme="minorHAnsi" w:hAnsiTheme="minorHAnsi"/>
          <w:b/>
          <w:sz w:val="22"/>
          <w:szCs w:val="22"/>
        </w:rPr>
      </w:pPr>
    </w:p>
    <w:p w:rsidR="002633A5" w:rsidRPr="001A3152" w:rsidRDefault="00025615" w:rsidP="002633A5">
      <w:pPr>
        <w:contextualSpacing/>
        <w:jc w:val="both"/>
        <w:rPr>
          <w:rFonts w:asciiTheme="minorHAnsi" w:hAnsiTheme="minorHAnsi"/>
          <w:sz w:val="22"/>
          <w:szCs w:val="22"/>
        </w:rPr>
      </w:pPr>
      <w:r>
        <w:rPr>
          <w:rFonts w:asciiTheme="minorHAnsi" w:hAnsiTheme="minorHAnsi"/>
          <w:b/>
          <w:sz w:val="22"/>
          <w:szCs w:val="22"/>
        </w:rPr>
        <w:t>1</w:t>
      </w:r>
      <w:r w:rsidR="00793BF7" w:rsidRPr="001A3152">
        <w:rPr>
          <w:rFonts w:asciiTheme="minorHAnsi" w:hAnsiTheme="minorHAnsi"/>
          <w:b/>
          <w:sz w:val="22"/>
          <w:szCs w:val="22"/>
        </w:rPr>
        <w:t>.2.1</w:t>
      </w:r>
      <w:r w:rsidR="000E020E" w:rsidRPr="001A3152">
        <w:rPr>
          <w:rFonts w:asciiTheme="minorHAnsi" w:hAnsiTheme="minorHAnsi"/>
          <w:b/>
          <w:sz w:val="22"/>
          <w:szCs w:val="22"/>
        </w:rPr>
        <w:t>.Rafael Ramírez</w:t>
      </w:r>
      <w:r w:rsidR="000E020E" w:rsidRPr="001A3152">
        <w:rPr>
          <w:rFonts w:asciiTheme="minorHAnsi" w:hAnsiTheme="minorHAnsi"/>
          <w:sz w:val="22"/>
          <w:szCs w:val="22"/>
        </w:rPr>
        <w:t xml:space="preserve">: </w:t>
      </w:r>
      <w:r w:rsidR="002633A5" w:rsidRPr="001A3152">
        <w:rPr>
          <w:rFonts w:asciiTheme="minorHAnsi" w:hAnsiTheme="minorHAnsi"/>
          <w:sz w:val="22"/>
          <w:szCs w:val="22"/>
        </w:rPr>
        <w:t xml:space="preserve">Embajador de Venezuela ante la ONU (desde diciembre 2014); Ministro de Relaciones Exteriores (septiembre-diciembre 2014); Ministro de Energía y Minas (Julio 2002- Septiembre 2014) y, simultáneamente, Presidente de Pdvsa (Noviembre 2004-Septiembre 2014); Director externo de Pdvsa (Febrero 2002).Vínculo con Hugo Chávez, militante del PSUV. </w:t>
      </w:r>
    </w:p>
    <w:p w:rsidR="00AE62D8" w:rsidRPr="001A3152" w:rsidRDefault="00AE62D8" w:rsidP="000E020E">
      <w:pPr>
        <w:contextualSpacing/>
        <w:jc w:val="both"/>
        <w:rPr>
          <w:rFonts w:asciiTheme="minorHAnsi" w:hAnsiTheme="minorHAnsi"/>
          <w:sz w:val="22"/>
          <w:szCs w:val="22"/>
        </w:rPr>
      </w:pPr>
    </w:p>
    <w:p w:rsidR="002633A5" w:rsidRPr="001A3152" w:rsidRDefault="00025615" w:rsidP="002633A5">
      <w:pPr>
        <w:contextualSpacing/>
        <w:jc w:val="both"/>
        <w:rPr>
          <w:rFonts w:asciiTheme="minorHAnsi" w:hAnsiTheme="minorHAnsi"/>
          <w:sz w:val="22"/>
          <w:szCs w:val="22"/>
        </w:rPr>
      </w:pPr>
      <w:r>
        <w:rPr>
          <w:rFonts w:asciiTheme="minorHAnsi" w:hAnsiTheme="minorHAnsi"/>
          <w:b/>
          <w:sz w:val="22"/>
          <w:szCs w:val="22"/>
        </w:rPr>
        <w:t>1</w:t>
      </w:r>
      <w:r w:rsidR="00793BF7" w:rsidRPr="001A3152">
        <w:rPr>
          <w:rFonts w:asciiTheme="minorHAnsi" w:hAnsiTheme="minorHAnsi"/>
          <w:b/>
          <w:sz w:val="22"/>
          <w:szCs w:val="22"/>
        </w:rPr>
        <w:t>.2.2.</w:t>
      </w:r>
      <w:r w:rsidR="00C364FD">
        <w:rPr>
          <w:rFonts w:asciiTheme="minorHAnsi" w:hAnsiTheme="minorHAnsi"/>
          <w:b/>
          <w:sz w:val="22"/>
          <w:szCs w:val="22"/>
        </w:rPr>
        <w:t xml:space="preserve"> </w:t>
      </w:r>
      <w:r w:rsidR="00793BF7" w:rsidRPr="001A3152">
        <w:rPr>
          <w:rFonts w:asciiTheme="minorHAnsi" w:hAnsiTheme="minorHAnsi"/>
          <w:b/>
          <w:sz w:val="22"/>
          <w:szCs w:val="22"/>
        </w:rPr>
        <w:t>Eulogio del Pino:</w:t>
      </w:r>
      <w:r w:rsidR="00C364FD">
        <w:rPr>
          <w:rFonts w:asciiTheme="minorHAnsi" w:hAnsiTheme="minorHAnsi"/>
          <w:b/>
          <w:sz w:val="22"/>
          <w:szCs w:val="22"/>
        </w:rPr>
        <w:t xml:space="preserve"> </w:t>
      </w:r>
      <w:r w:rsidR="002633A5" w:rsidRPr="001A3152">
        <w:rPr>
          <w:rFonts w:asciiTheme="minorHAnsi" w:hAnsiTheme="minorHAnsi"/>
          <w:sz w:val="22"/>
          <w:szCs w:val="22"/>
        </w:rPr>
        <w:t xml:space="preserve">Presidente de Pdvsa (enero 2017); Ministro de Petróleo y Minería y Presidente de Pdvsa (2015- enero 2017); </w:t>
      </w:r>
      <w:r w:rsidR="002633A5" w:rsidRPr="001A3152">
        <w:rPr>
          <w:rFonts w:asciiTheme="minorHAnsi" w:hAnsiTheme="minorHAnsi"/>
          <w:color w:val="343434"/>
          <w:sz w:val="22"/>
          <w:szCs w:val="22"/>
        </w:rPr>
        <w:t>Vicepresidente de Exploración y Producción, Director de Pdvsa, presidente de Pdvsa servicios, presidente de PDV Europa y director de la CVP</w:t>
      </w:r>
      <w:r w:rsidR="002633A5" w:rsidRPr="001A3152">
        <w:rPr>
          <w:rFonts w:asciiTheme="minorHAnsi" w:hAnsiTheme="minorHAnsi"/>
          <w:sz w:val="22"/>
          <w:szCs w:val="22"/>
        </w:rPr>
        <w:t xml:space="preserve"> (2008-2013); </w:t>
      </w:r>
      <w:r w:rsidR="002633A5" w:rsidRPr="001A3152">
        <w:rPr>
          <w:rFonts w:asciiTheme="minorHAnsi" w:hAnsiTheme="minorHAnsi"/>
          <w:color w:val="343434"/>
          <w:sz w:val="22"/>
          <w:szCs w:val="22"/>
        </w:rPr>
        <w:t>Gerente general de las Asociaciones Estratégicas en la CVP y representante de Pdvsa en las Asociaciones Estratégicas de la FPO.</w:t>
      </w:r>
    </w:p>
    <w:p w:rsidR="00793BF7" w:rsidRPr="001A3152" w:rsidRDefault="00793BF7" w:rsidP="000E020E">
      <w:pPr>
        <w:contextualSpacing/>
        <w:jc w:val="both"/>
        <w:rPr>
          <w:rFonts w:asciiTheme="minorHAnsi" w:hAnsiTheme="minorHAnsi"/>
          <w:sz w:val="22"/>
          <w:szCs w:val="22"/>
        </w:rPr>
      </w:pPr>
    </w:p>
    <w:p w:rsidR="002633A5" w:rsidRPr="001A3152" w:rsidRDefault="00025615" w:rsidP="002633A5">
      <w:pPr>
        <w:contextualSpacing/>
        <w:jc w:val="both"/>
        <w:rPr>
          <w:rFonts w:asciiTheme="minorHAnsi" w:hAnsiTheme="minorHAnsi"/>
          <w:sz w:val="22"/>
          <w:szCs w:val="22"/>
        </w:rPr>
      </w:pPr>
      <w:r>
        <w:rPr>
          <w:rFonts w:asciiTheme="minorHAnsi" w:hAnsiTheme="minorHAnsi"/>
          <w:b/>
          <w:sz w:val="22"/>
          <w:szCs w:val="22"/>
        </w:rPr>
        <w:t>1</w:t>
      </w:r>
      <w:r w:rsidR="00793BF7" w:rsidRPr="001A3152">
        <w:rPr>
          <w:rFonts w:asciiTheme="minorHAnsi" w:hAnsiTheme="minorHAnsi"/>
          <w:b/>
          <w:sz w:val="22"/>
          <w:szCs w:val="22"/>
        </w:rPr>
        <w:t>.2.3</w:t>
      </w:r>
      <w:r w:rsidR="000E020E" w:rsidRPr="001A3152">
        <w:rPr>
          <w:rFonts w:asciiTheme="minorHAnsi" w:hAnsiTheme="minorHAnsi"/>
          <w:b/>
          <w:sz w:val="22"/>
          <w:szCs w:val="22"/>
        </w:rPr>
        <w:t>.</w:t>
      </w:r>
      <w:r w:rsidR="000F7A75" w:rsidRPr="001A3152">
        <w:rPr>
          <w:rFonts w:asciiTheme="minorHAnsi" w:hAnsiTheme="minorHAnsi"/>
          <w:b/>
          <w:sz w:val="22"/>
          <w:szCs w:val="22"/>
        </w:rPr>
        <w:t>Asdrúbal Chávez</w:t>
      </w:r>
      <w:r w:rsidR="000F7A75" w:rsidRPr="001A3152">
        <w:rPr>
          <w:rFonts w:asciiTheme="minorHAnsi" w:hAnsiTheme="minorHAnsi"/>
          <w:sz w:val="22"/>
          <w:szCs w:val="22"/>
        </w:rPr>
        <w:t xml:space="preserve">: </w:t>
      </w:r>
      <w:r w:rsidR="002633A5" w:rsidRPr="001A3152">
        <w:rPr>
          <w:rFonts w:asciiTheme="minorHAnsi" w:hAnsiTheme="minorHAnsi"/>
          <w:sz w:val="22"/>
          <w:szCs w:val="22"/>
        </w:rPr>
        <w:t>Diputado a la Asamblea Nacional (enero 2016); Ministro de Petróleo y Minería (septiembre 2014-2015);Viceministro de Petroquímic</w:t>
      </w:r>
      <w:r w:rsidR="00FA6468" w:rsidRPr="001A3152">
        <w:rPr>
          <w:rFonts w:asciiTheme="minorHAnsi" w:hAnsiTheme="minorHAnsi"/>
          <w:sz w:val="22"/>
          <w:szCs w:val="22"/>
        </w:rPr>
        <w:t>a</w:t>
      </w:r>
      <w:r w:rsidR="002633A5" w:rsidRPr="001A3152">
        <w:rPr>
          <w:rFonts w:asciiTheme="minorHAnsi" w:hAnsiTheme="minorHAnsi"/>
          <w:sz w:val="22"/>
          <w:szCs w:val="22"/>
        </w:rPr>
        <w:t xml:space="preserve"> del Ministerio de Petróleo y Minería (2009); Vicepresidente de Refinación, Comercio y Suministro de Pdvsa y Presidente de Pdv Caribe (mayo 2007); Director de Pdvsa, responsable de Comercio y Suministro de Pdvsa, Presidente de PDV Marina, Presidente de BITOR y Director de CITGO  (Enero 2005);</w:t>
      </w:r>
      <w:r w:rsidR="00FA6468" w:rsidRPr="001A3152">
        <w:rPr>
          <w:rFonts w:asciiTheme="minorHAnsi" w:hAnsiTheme="minorHAnsi"/>
          <w:sz w:val="22"/>
          <w:szCs w:val="22"/>
        </w:rPr>
        <w:t xml:space="preserve"> </w:t>
      </w:r>
      <w:r w:rsidR="002633A5" w:rsidRPr="001A3152">
        <w:rPr>
          <w:rFonts w:asciiTheme="minorHAnsi" w:hAnsiTheme="minorHAnsi"/>
          <w:sz w:val="22"/>
          <w:szCs w:val="22"/>
        </w:rPr>
        <w:t>Director Ejecutivo de Comercio y Suministro de Pdvsa (Marzo 2004);</w:t>
      </w:r>
      <w:r w:rsidR="00FA6468" w:rsidRPr="001A3152">
        <w:rPr>
          <w:rFonts w:asciiTheme="minorHAnsi" w:hAnsiTheme="minorHAnsi"/>
          <w:sz w:val="22"/>
          <w:szCs w:val="22"/>
        </w:rPr>
        <w:t xml:space="preserve"> </w:t>
      </w:r>
      <w:r w:rsidR="002633A5" w:rsidRPr="001A3152">
        <w:rPr>
          <w:rFonts w:asciiTheme="minorHAnsi" w:hAnsiTheme="minorHAnsi"/>
          <w:sz w:val="22"/>
          <w:szCs w:val="22"/>
        </w:rPr>
        <w:t>Director Ejecutivo de Recursos Humanos de Pdvsa (Agosto 2003);</w:t>
      </w:r>
      <w:r w:rsidR="00FA6468" w:rsidRPr="001A3152">
        <w:rPr>
          <w:rFonts w:asciiTheme="minorHAnsi" w:hAnsiTheme="minorHAnsi"/>
          <w:sz w:val="22"/>
          <w:szCs w:val="22"/>
        </w:rPr>
        <w:t xml:space="preserve"> </w:t>
      </w:r>
      <w:r w:rsidR="002633A5" w:rsidRPr="001A3152">
        <w:rPr>
          <w:rFonts w:asciiTheme="minorHAnsi" w:hAnsiTheme="minorHAnsi"/>
          <w:sz w:val="22"/>
          <w:szCs w:val="22"/>
        </w:rPr>
        <w:t>Gerente General de la Refinería El Palito (enero 2003);</w:t>
      </w:r>
      <w:r w:rsidR="00FA6468" w:rsidRPr="001A3152">
        <w:rPr>
          <w:rFonts w:asciiTheme="minorHAnsi" w:hAnsiTheme="minorHAnsi"/>
          <w:sz w:val="22"/>
          <w:szCs w:val="22"/>
        </w:rPr>
        <w:t xml:space="preserve"> </w:t>
      </w:r>
      <w:r w:rsidR="002633A5" w:rsidRPr="001A3152">
        <w:rPr>
          <w:rFonts w:asciiTheme="minorHAnsi" w:hAnsiTheme="minorHAnsi"/>
          <w:sz w:val="22"/>
          <w:szCs w:val="22"/>
        </w:rPr>
        <w:t>Asistente a la Junta Directiva de BITOR (2002);</w:t>
      </w:r>
      <w:r w:rsidR="00FA6468" w:rsidRPr="001A3152">
        <w:rPr>
          <w:rFonts w:asciiTheme="minorHAnsi" w:hAnsiTheme="minorHAnsi"/>
          <w:sz w:val="22"/>
          <w:szCs w:val="22"/>
        </w:rPr>
        <w:t xml:space="preserve"> </w:t>
      </w:r>
      <w:r w:rsidR="002633A5" w:rsidRPr="001A3152">
        <w:rPr>
          <w:rFonts w:asciiTheme="minorHAnsi" w:hAnsiTheme="minorHAnsi"/>
          <w:sz w:val="22"/>
          <w:szCs w:val="22"/>
        </w:rPr>
        <w:t>Gerente de Recursos Humanos de BITOR (2001); Ministerio de Producción y Comercio (2000).Vínculo familiar con Hugo Chávez (primo).</w:t>
      </w:r>
    </w:p>
    <w:p w:rsidR="000F7A75" w:rsidRPr="001A3152" w:rsidRDefault="000F7A75" w:rsidP="000E020E">
      <w:pPr>
        <w:contextualSpacing/>
        <w:jc w:val="both"/>
        <w:rPr>
          <w:rFonts w:asciiTheme="minorHAnsi" w:hAnsiTheme="minorHAnsi"/>
          <w:sz w:val="22"/>
          <w:szCs w:val="22"/>
          <w:highlight w:val="magenta"/>
        </w:rPr>
      </w:pPr>
    </w:p>
    <w:p w:rsidR="002633A5" w:rsidRPr="001A3152" w:rsidRDefault="00025615" w:rsidP="002633A5">
      <w:pPr>
        <w:contextualSpacing/>
        <w:jc w:val="both"/>
        <w:rPr>
          <w:rFonts w:asciiTheme="minorHAnsi" w:hAnsiTheme="minorHAnsi"/>
          <w:sz w:val="22"/>
          <w:szCs w:val="22"/>
        </w:rPr>
      </w:pPr>
      <w:r>
        <w:rPr>
          <w:rFonts w:asciiTheme="minorHAnsi" w:hAnsiTheme="minorHAnsi"/>
          <w:b/>
          <w:sz w:val="22"/>
          <w:szCs w:val="22"/>
        </w:rPr>
        <w:lastRenderedPageBreak/>
        <w:t>1</w:t>
      </w:r>
      <w:r w:rsidR="00793BF7" w:rsidRPr="001A3152">
        <w:rPr>
          <w:rFonts w:asciiTheme="minorHAnsi" w:hAnsiTheme="minorHAnsi"/>
          <w:b/>
          <w:sz w:val="22"/>
          <w:szCs w:val="22"/>
        </w:rPr>
        <w:t>.2.4</w:t>
      </w:r>
      <w:r w:rsidR="000F7A75" w:rsidRPr="001A3152">
        <w:rPr>
          <w:rFonts w:asciiTheme="minorHAnsi" w:hAnsiTheme="minorHAnsi"/>
          <w:b/>
          <w:sz w:val="22"/>
          <w:szCs w:val="22"/>
        </w:rPr>
        <w:t>.</w:t>
      </w:r>
      <w:r w:rsidR="00C364FD">
        <w:rPr>
          <w:rFonts w:asciiTheme="minorHAnsi" w:hAnsiTheme="minorHAnsi"/>
          <w:b/>
          <w:sz w:val="22"/>
          <w:szCs w:val="22"/>
        </w:rPr>
        <w:t xml:space="preserve"> </w:t>
      </w:r>
      <w:r w:rsidR="000E020E" w:rsidRPr="001A3152">
        <w:rPr>
          <w:rFonts w:asciiTheme="minorHAnsi" w:hAnsiTheme="minorHAnsi"/>
          <w:b/>
          <w:sz w:val="22"/>
          <w:szCs w:val="22"/>
        </w:rPr>
        <w:t>Iván Orellana</w:t>
      </w:r>
      <w:r w:rsidR="000F7A75" w:rsidRPr="001A3152">
        <w:rPr>
          <w:rFonts w:asciiTheme="minorHAnsi" w:hAnsiTheme="minorHAnsi"/>
          <w:sz w:val="22"/>
          <w:szCs w:val="22"/>
        </w:rPr>
        <w:t>:</w:t>
      </w:r>
      <w:r w:rsidR="00C364FD">
        <w:rPr>
          <w:rFonts w:asciiTheme="minorHAnsi" w:hAnsiTheme="minorHAnsi"/>
          <w:sz w:val="22"/>
          <w:szCs w:val="22"/>
        </w:rPr>
        <w:t xml:space="preserve"> </w:t>
      </w:r>
      <w:r w:rsidR="002633A5" w:rsidRPr="001A3152">
        <w:rPr>
          <w:rFonts w:asciiTheme="minorHAnsi" w:hAnsiTheme="minorHAnsi"/>
          <w:sz w:val="22"/>
          <w:szCs w:val="22"/>
        </w:rPr>
        <w:t>Director General de la Oficina de Planificación Estratégica del Ministerio de Energía y Petróleo (2006); Director General de la Oficina de Relaciones Internacionales del Ministerio de Energía y Petróleo y Director de Pdvsa (enero 2005);</w:t>
      </w:r>
      <w:r w:rsidR="00FA6468" w:rsidRPr="001A3152">
        <w:rPr>
          <w:rFonts w:asciiTheme="minorHAnsi" w:hAnsiTheme="minorHAnsi"/>
          <w:sz w:val="22"/>
          <w:szCs w:val="22"/>
        </w:rPr>
        <w:t xml:space="preserve"> </w:t>
      </w:r>
      <w:r w:rsidR="002633A5" w:rsidRPr="001A3152">
        <w:rPr>
          <w:rFonts w:asciiTheme="minorHAnsi" w:hAnsiTheme="minorHAnsi"/>
          <w:sz w:val="22"/>
          <w:szCs w:val="22"/>
        </w:rPr>
        <w:t>Director General de Hidrocarburos (2004);</w:t>
      </w:r>
      <w:r w:rsidR="00FA6468" w:rsidRPr="001A3152">
        <w:rPr>
          <w:rFonts w:asciiTheme="minorHAnsi" w:hAnsiTheme="minorHAnsi"/>
          <w:sz w:val="22"/>
          <w:szCs w:val="22"/>
        </w:rPr>
        <w:t xml:space="preserve"> </w:t>
      </w:r>
      <w:r w:rsidR="002633A5" w:rsidRPr="001A3152">
        <w:rPr>
          <w:rFonts w:asciiTheme="minorHAnsi" w:hAnsiTheme="minorHAnsi"/>
          <w:sz w:val="22"/>
          <w:szCs w:val="22"/>
        </w:rPr>
        <w:t>Gobernador de Venezuela ante la OPEP y Asistente Ejecutivo del Ministro de Energía y Petróleo (2003).Vínculo con Rafael Ramírez.</w:t>
      </w:r>
    </w:p>
    <w:p w:rsidR="00C34BB1" w:rsidRPr="001A3152" w:rsidRDefault="00C34BB1" w:rsidP="00EE7A84">
      <w:pPr>
        <w:spacing w:after="100" w:afterAutospacing="1"/>
        <w:contextualSpacing/>
        <w:jc w:val="both"/>
        <w:rPr>
          <w:rFonts w:asciiTheme="minorHAnsi" w:hAnsiTheme="minorHAnsi"/>
          <w:sz w:val="22"/>
          <w:szCs w:val="22"/>
        </w:rPr>
      </w:pPr>
    </w:p>
    <w:p w:rsidR="002633A5" w:rsidRPr="001A3152" w:rsidRDefault="00025615" w:rsidP="002633A5">
      <w:pPr>
        <w:spacing w:after="100" w:afterAutospacing="1"/>
        <w:contextualSpacing/>
        <w:jc w:val="both"/>
        <w:rPr>
          <w:rFonts w:asciiTheme="minorHAnsi" w:hAnsiTheme="minorHAnsi"/>
          <w:sz w:val="22"/>
          <w:szCs w:val="22"/>
        </w:rPr>
      </w:pPr>
      <w:r>
        <w:rPr>
          <w:rFonts w:asciiTheme="minorHAnsi" w:hAnsiTheme="minorHAnsi"/>
          <w:b/>
          <w:sz w:val="22"/>
          <w:szCs w:val="22"/>
        </w:rPr>
        <w:t>1</w:t>
      </w:r>
      <w:r w:rsidR="00C2238B" w:rsidRPr="001A3152">
        <w:rPr>
          <w:rFonts w:asciiTheme="minorHAnsi" w:hAnsiTheme="minorHAnsi"/>
          <w:b/>
          <w:sz w:val="22"/>
          <w:szCs w:val="22"/>
        </w:rPr>
        <w:t>.2.5</w:t>
      </w:r>
      <w:r w:rsidR="00C34BB1" w:rsidRPr="001A3152">
        <w:rPr>
          <w:rFonts w:asciiTheme="minorHAnsi" w:hAnsiTheme="minorHAnsi"/>
          <w:b/>
          <w:sz w:val="22"/>
          <w:szCs w:val="22"/>
        </w:rPr>
        <w:t>. Déster Rodríguez</w:t>
      </w:r>
      <w:r w:rsidR="00C34BB1" w:rsidRPr="001A3152">
        <w:rPr>
          <w:rFonts w:asciiTheme="minorHAnsi" w:hAnsiTheme="minorHAnsi"/>
          <w:sz w:val="22"/>
          <w:szCs w:val="22"/>
        </w:rPr>
        <w:t xml:space="preserve">: </w:t>
      </w:r>
      <w:r w:rsidR="002633A5" w:rsidRPr="001A3152">
        <w:rPr>
          <w:rFonts w:asciiTheme="minorHAnsi" w:hAnsiTheme="minorHAnsi"/>
          <w:sz w:val="22"/>
          <w:szCs w:val="22"/>
        </w:rPr>
        <w:t>Presidente de Palmaven (marzo 2005);  Presidente del CIED y Presidente de Commerchamp (marzo 2003);</w:t>
      </w:r>
      <w:r w:rsidR="00FA6468" w:rsidRPr="001A3152">
        <w:rPr>
          <w:rFonts w:asciiTheme="minorHAnsi" w:hAnsiTheme="minorHAnsi"/>
          <w:sz w:val="22"/>
          <w:szCs w:val="22"/>
        </w:rPr>
        <w:t xml:space="preserve"> </w:t>
      </w:r>
      <w:r w:rsidR="002633A5" w:rsidRPr="001A3152">
        <w:rPr>
          <w:rFonts w:asciiTheme="minorHAnsi" w:hAnsiTheme="minorHAnsi"/>
          <w:sz w:val="22"/>
          <w:szCs w:val="22"/>
        </w:rPr>
        <w:t>Miembro Comité Reestructuración de Pdvsa (diciembre 2002); Director de Pdvsa, Director de Citgo, Vicepresidente de la Refinería Isla (Curazao), Miembro de la Junta Directiva de PDV Holding. General del Ejército.</w:t>
      </w:r>
    </w:p>
    <w:p w:rsidR="00C34BB1" w:rsidRPr="001A3152" w:rsidRDefault="00C34BB1" w:rsidP="00EE7A84">
      <w:pPr>
        <w:spacing w:after="100" w:afterAutospacing="1"/>
        <w:contextualSpacing/>
        <w:jc w:val="both"/>
        <w:rPr>
          <w:rFonts w:asciiTheme="minorHAnsi" w:hAnsiTheme="minorHAnsi"/>
          <w:sz w:val="22"/>
          <w:szCs w:val="22"/>
        </w:rPr>
      </w:pPr>
    </w:p>
    <w:p w:rsidR="00A90734" w:rsidRPr="001A3152" w:rsidRDefault="00025615" w:rsidP="002633A5">
      <w:pPr>
        <w:spacing w:after="100" w:afterAutospacing="1"/>
        <w:contextualSpacing/>
        <w:jc w:val="both"/>
        <w:rPr>
          <w:rFonts w:asciiTheme="minorHAnsi" w:hAnsiTheme="minorHAnsi"/>
          <w:sz w:val="22"/>
          <w:szCs w:val="22"/>
        </w:rPr>
      </w:pPr>
      <w:r>
        <w:rPr>
          <w:rFonts w:asciiTheme="minorHAnsi" w:hAnsiTheme="minorHAnsi"/>
          <w:b/>
          <w:sz w:val="22"/>
          <w:szCs w:val="22"/>
        </w:rPr>
        <w:t>1</w:t>
      </w:r>
      <w:r w:rsidR="00C2238B" w:rsidRPr="001A3152">
        <w:rPr>
          <w:rFonts w:asciiTheme="minorHAnsi" w:hAnsiTheme="minorHAnsi"/>
          <w:b/>
          <w:sz w:val="22"/>
          <w:szCs w:val="22"/>
        </w:rPr>
        <w:t>.2.6</w:t>
      </w:r>
      <w:r w:rsidR="00756D99" w:rsidRPr="001A3152">
        <w:rPr>
          <w:rFonts w:asciiTheme="minorHAnsi" w:hAnsiTheme="minorHAnsi"/>
          <w:b/>
          <w:sz w:val="22"/>
          <w:szCs w:val="22"/>
        </w:rPr>
        <w:t>. Carlos Martínez</w:t>
      </w:r>
      <w:r w:rsidR="00793BF7" w:rsidRPr="001A3152">
        <w:rPr>
          <w:rFonts w:asciiTheme="minorHAnsi" w:hAnsiTheme="minorHAnsi"/>
          <w:sz w:val="22"/>
          <w:szCs w:val="22"/>
        </w:rPr>
        <w:t xml:space="preserve">: </w:t>
      </w:r>
      <w:r w:rsidR="002633A5" w:rsidRPr="001A3152">
        <w:rPr>
          <w:rFonts w:asciiTheme="minorHAnsi" w:hAnsiTheme="minorHAnsi"/>
          <w:sz w:val="22"/>
          <w:szCs w:val="22"/>
        </w:rPr>
        <w:t>Presidente de Corpozulia y Carbozulia; Director de Pdvsa (enero 2005). General del Ejército.</w:t>
      </w:r>
    </w:p>
    <w:p w:rsidR="00A90734" w:rsidRPr="001A3152" w:rsidRDefault="00A90734" w:rsidP="002633A5">
      <w:pPr>
        <w:spacing w:after="100" w:afterAutospacing="1"/>
        <w:contextualSpacing/>
        <w:jc w:val="both"/>
        <w:rPr>
          <w:rFonts w:asciiTheme="minorHAnsi" w:hAnsiTheme="minorHAnsi"/>
          <w:sz w:val="22"/>
          <w:szCs w:val="22"/>
        </w:rPr>
      </w:pPr>
    </w:p>
    <w:p w:rsidR="00A90734" w:rsidRPr="001A3152" w:rsidRDefault="00025615" w:rsidP="002633A5">
      <w:pPr>
        <w:spacing w:after="100" w:afterAutospacing="1"/>
        <w:contextualSpacing/>
        <w:jc w:val="both"/>
        <w:rPr>
          <w:rFonts w:asciiTheme="minorHAnsi" w:hAnsiTheme="minorHAnsi"/>
          <w:sz w:val="22"/>
          <w:szCs w:val="22"/>
        </w:rPr>
      </w:pPr>
      <w:r>
        <w:rPr>
          <w:rFonts w:asciiTheme="minorHAnsi" w:hAnsiTheme="minorHAnsi"/>
          <w:b/>
          <w:sz w:val="22"/>
          <w:szCs w:val="22"/>
        </w:rPr>
        <w:t>1</w:t>
      </w:r>
      <w:r w:rsidR="00A90734" w:rsidRPr="001A3152">
        <w:rPr>
          <w:rFonts w:asciiTheme="minorHAnsi" w:hAnsiTheme="minorHAnsi"/>
          <w:b/>
          <w:sz w:val="22"/>
          <w:szCs w:val="22"/>
        </w:rPr>
        <w:t>.2.7 Delcy Rodríguez</w:t>
      </w:r>
      <w:r w:rsidR="00A90734" w:rsidRPr="001A3152">
        <w:rPr>
          <w:rFonts w:asciiTheme="minorHAnsi" w:hAnsiTheme="minorHAnsi"/>
          <w:sz w:val="22"/>
          <w:szCs w:val="22"/>
        </w:rPr>
        <w:t>: Vicepresidenta de Asuntos Internacionales de PDVSA</w:t>
      </w:r>
      <w:r w:rsidR="00EE25B0" w:rsidRPr="001A3152">
        <w:rPr>
          <w:rFonts w:asciiTheme="minorHAnsi" w:hAnsiTheme="minorHAnsi"/>
          <w:sz w:val="22"/>
          <w:szCs w:val="22"/>
        </w:rPr>
        <w:t xml:space="preserve"> (junio 2015)</w:t>
      </w:r>
      <w:r w:rsidR="00784641" w:rsidRPr="001A3152">
        <w:rPr>
          <w:rFonts w:asciiTheme="minorHAnsi" w:hAnsiTheme="minorHAnsi"/>
          <w:sz w:val="22"/>
          <w:szCs w:val="22"/>
        </w:rPr>
        <w:t>, tiene bajo se responsabilidad PDV América S.A., PDV Caribe S.A. y PDV Europa S.A.</w:t>
      </w:r>
      <w:r w:rsidR="00EE25B0" w:rsidRPr="001A3152">
        <w:rPr>
          <w:rFonts w:asciiTheme="minorHAnsi" w:hAnsiTheme="minorHAnsi"/>
          <w:sz w:val="22"/>
          <w:szCs w:val="22"/>
        </w:rPr>
        <w:t xml:space="preserve"> Militante del Partido Socialista Unido de Venezuela ha ocupado diversos cargos tanto en la administración de Hugo Chávez como en la administración de Nicolás Maduro, entre los más destacados: ministra del Despacho de la Presidencia (2006), ministra de Comunicación e Información (2013-2014) y actualmente </w:t>
      </w:r>
      <w:r w:rsidR="00334D12" w:rsidRPr="001A3152">
        <w:rPr>
          <w:rFonts w:asciiTheme="minorHAnsi" w:hAnsiTheme="minorHAnsi"/>
          <w:sz w:val="22"/>
          <w:szCs w:val="22"/>
        </w:rPr>
        <w:t xml:space="preserve">también </w:t>
      </w:r>
      <w:r w:rsidR="00EE25B0" w:rsidRPr="001A3152">
        <w:rPr>
          <w:rFonts w:asciiTheme="minorHAnsi" w:hAnsiTheme="minorHAnsi"/>
          <w:sz w:val="22"/>
          <w:szCs w:val="22"/>
        </w:rPr>
        <w:t>ocupa el cargo de canciller</w:t>
      </w:r>
      <w:r w:rsidR="00334D12" w:rsidRPr="001A3152">
        <w:rPr>
          <w:rFonts w:asciiTheme="minorHAnsi" w:hAnsiTheme="minorHAnsi"/>
          <w:sz w:val="22"/>
          <w:szCs w:val="22"/>
        </w:rPr>
        <w:t xml:space="preserve"> y vicepresidenta del área política</w:t>
      </w:r>
      <w:r w:rsidR="00EE25B0" w:rsidRPr="001A3152">
        <w:rPr>
          <w:rFonts w:asciiTheme="minorHAnsi" w:hAnsiTheme="minorHAnsi"/>
          <w:sz w:val="22"/>
          <w:szCs w:val="22"/>
        </w:rPr>
        <w:t>.</w:t>
      </w:r>
    </w:p>
    <w:p w:rsidR="00A90734" w:rsidRPr="001A3152" w:rsidRDefault="00A90734" w:rsidP="002633A5">
      <w:pPr>
        <w:spacing w:after="100" w:afterAutospacing="1"/>
        <w:contextualSpacing/>
        <w:jc w:val="both"/>
        <w:rPr>
          <w:rFonts w:asciiTheme="minorHAnsi" w:hAnsiTheme="minorHAnsi"/>
          <w:sz w:val="22"/>
          <w:szCs w:val="22"/>
        </w:rPr>
      </w:pPr>
    </w:p>
    <w:p w:rsidR="002633A5" w:rsidRPr="001A3152" w:rsidRDefault="002633A5" w:rsidP="002633A5">
      <w:pPr>
        <w:spacing w:after="100" w:afterAutospacing="1"/>
        <w:contextualSpacing/>
        <w:jc w:val="both"/>
        <w:rPr>
          <w:rFonts w:asciiTheme="minorHAnsi" w:hAnsiTheme="minorHAnsi"/>
          <w:sz w:val="22"/>
          <w:szCs w:val="22"/>
        </w:rPr>
      </w:pPr>
      <w:r w:rsidRPr="001A3152">
        <w:rPr>
          <w:rFonts w:asciiTheme="minorHAnsi" w:hAnsiTheme="minorHAnsi"/>
          <w:b/>
          <w:sz w:val="22"/>
          <w:szCs w:val="22"/>
        </w:rPr>
        <w:t>Fuente</w:t>
      </w:r>
      <w:r w:rsidRPr="001A3152">
        <w:rPr>
          <w:rFonts w:asciiTheme="minorHAnsi" w:hAnsiTheme="minorHAnsi"/>
          <w:sz w:val="22"/>
          <w:szCs w:val="22"/>
        </w:rPr>
        <w:t xml:space="preserve">: Elaboración de los autores con base en Pdvsa. Información financiera y operacional al 31 de diciembre de 2006 y </w:t>
      </w:r>
      <w:hyperlink r:id="rId10" w:history="1">
        <w:r w:rsidRPr="001A3152">
          <w:rPr>
            <w:rStyle w:val="Hyperlink"/>
            <w:rFonts w:asciiTheme="minorHAnsi" w:hAnsiTheme="minorHAnsi"/>
            <w:sz w:val="22"/>
            <w:szCs w:val="22"/>
          </w:rPr>
          <w:t>http://www.pdvsa.com/</w:t>
        </w:r>
      </w:hyperlink>
      <w:r w:rsidRPr="001A3152">
        <w:rPr>
          <w:rFonts w:asciiTheme="minorHAnsi" w:hAnsiTheme="minorHAnsi"/>
          <w:sz w:val="22"/>
          <w:szCs w:val="22"/>
        </w:rPr>
        <w:t>.</w:t>
      </w:r>
    </w:p>
    <w:p w:rsidR="00001461" w:rsidRPr="001A3152" w:rsidRDefault="00001461" w:rsidP="00E31320">
      <w:pPr>
        <w:spacing w:after="100" w:afterAutospacing="1"/>
        <w:contextualSpacing/>
        <w:jc w:val="both"/>
        <w:rPr>
          <w:rFonts w:asciiTheme="minorHAnsi" w:hAnsiTheme="minorHAnsi"/>
          <w:sz w:val="22"/>
          <w:szCs w:val="22"/>
        </w:rPr>
      </w:pPr>
    </w:p>
    <w:p w:rsidR="00E724A5" w:rsidRPr="001A3152" w:rsidRDefault="00025615" w:rsidP="00494460">
      <w:pPr>
        <w:spacing w:after="100" w:afterAutospacing="1"/>
        <w:contextualSpacing/>
        <w:jc w:val="both"/>
        <w:rPr>
          <w:rFonts w:asciiTheme="minorHAnsi" w:hAnsiTheme="minorHAnsi"/>
          <w:sz w:val="22"/>
          <w:szCs w:val="22"/>
        </w:rPr>
      </w:pPr>
      <w:r>
        <w:rPr>
          <w:rFonts w:asciiTheme="minorHAnsi" w:hAnsiTheme="minorHAnsi"/>
          <w:b/>
          <w:sz w:val="22"/>
          <w:szCs w:val="22"/>
        </w:rPr>
        <w:t>1.3</w:t>
      </w:r>
      <w:r w:rsidR="00494460" w:rsidRPr="001A3152">
        <w:rPr>
          <w:rFonts w:asciiTheme="minorHAnsi" w:hAnsiTheme="minorHAnsi"/>
          <w:b/>
          <w:sz w:val="22"/>
          <w:szCs w:val="22"/>
        </w:rPr>
        <w:t>. C</w:t>
      </w:r>
      <w:r w:rsidR="00085AA8" w:rsidRPr="001A3152">
        <w:rPr>
          <w:rFonts w:asciiTheme="minorHAnsi" w:hAnsiTheme="minorHAnsi"/>
          <w:b/>
          <w:sz w:val="22"/>
          <w:szCs w:val="22"/>
        </w:rPr>
        <w:t xml:space="preserve">asos </w:t>
      </w:r>
      <w:r w:rsidR="0034687B" w:rsidRPr="001A3152">
        <w:rPr>
          <w:rFonts w:asciiTheme="minorHAnsi" w:hAnsiTheme="minorHAnsi"/>
          <w:b/>
          <w:sz w:val="22"/>
          <w:szCs w:val="22"/>
        </w:rPr>
        <w:t>de supuesta corrupción en los que</w:t>
      </w:r>
      <w:r w:rsidR="00FE6FDC" w:rsidRPr="001A3152">
        <w:rPr>
          <w:rFonts w:asciiTheme="minorHAnsi" w:hAnsiTheme="minorHAnsi"/>
          <w:b/>
          <w:sz w:val="22"/>
          <w:szCs w:val="22"/>
        </w:rPr>
        <w:t xml:space="preserve"> Pdvsa</w:t>
      </w:r>
      <w:r w:rsidR="0034687B" w:rsidRPr="001A3152">
        <w:rPr>
          <w:rFonts w:asciiTheme="minorHAnsi" w:hAnsiTheme="minorHAnsi"/>
          <w:b/>
          <w:sz w:val="22"/>
          <w:szCs w:val="22"/>
        </w:rPr>
        <w:t xml:space="preserve"> se ha</w:t>
      </w:r>
      <w:r w:rsidR="00085AA8" w:rsidRPr="001A3152">
        <w:rPr>
          <w:rFonts w:asciiTheme="minorHAnsi" w:hAnsiTheme="minorHAnsi"/>
          <w:b/>
          <w:sz w:val="22"/>
          <w:szCs w:val="22"/>
        </w:rPr>
        <w:t xml:space="preserve"> visto involucrad</w:t>
      </w:r>
      <w:r w:rsidR="00FE6FDC" w:rsidRPr="001A3152">
        <w:rPr>
          <w:rFonts w:asciiTheme="minorHAnsi" w:hAnsiTheme="minorHAnsi"/>
          <w:b/>
          <w:sz w:val="22"/>
          <w:szCs w:val="22"/>
        </w:rPr>
        <w:t>a</w:t>
      </w:r>
    </w:p>
    <w:p w:rsidR="00455B8A" w:rsidRPr="001A3152" w:rsidRDefault="00455B8A" w:rsidP="00494460">
      <w:pPr>
        <w:spacing w:after="100" w:afterAutospacing="1"/>
        <w:contextualSpacing/>
        <w:jc w:val="both"/>
        <w:rPr>
          <w:rFonts w:asciiTheme="minorHAnsi" w:hAnsiTheme="minorHAnsi"/>
          <w:sz w:val="22"/>
          <w:szCs w:val="22"/>
          <w:highlight w:val="magenta"/>
        </w:rPr>
      </w:pPr>
    </w:p>
    <w:p w:rsidR="006524FF" w:rsidRPr="001A3152" w:rsidRDefault="00025615" w:rsidP="00455B8A">
      <w:pPr>
        <w:autoSpaceDE w:val="0"/>
        <w:autoSpaceDN w:val="0"/>
        <w:adjustRightInd w:val="0"/>
        <w:jc w:val="both"/>
        <w:rPr>
          <w:rFonts w:asciiTheme="minorHAnsi" w:eastAsiaTheme="minorHAnsi" w:hAnsiTheme="minorHAnsi"/>
          <w:sz w:val="22"/>
          <w:szCs w:val="22"/>
          <w:lang w:eastAsia="en-US"/>
        </w:rPr>
      </w:pPr>
      <w:r>
        <w:rPr>
          <w:rFonts w:asciiTheme="minorHAnsi" w:eastAsiaTheme="minorHAnsi" w:hAnsiTheme="minorHAnsi"/>
          <w:b/>
          <w:sz w:val="22"/>
          <w:szCs w:val="22"/>
          <w:lang w:eastAsia="en-US"/>
        </w:rPr>
        <w:t>1</w:t>
      </w:r>
      <w:r w:rsidR="00455B8A" w:rsidRPr="001A3152">
        <w:rPr>
          <w:rFonts w:asciiTheme="minorHAnsi" w:eastAsiaTheme="minorHAnsi" w:hAnsiTheme="minorHAnsi"/>
          <w:b/>
          <w:sz w:val="22"/>
          <w:szCs w:val="22"/>
          <w:lang w:eastAsia="en-US"/>
        </w:rPr>
        <w:t>.3.1. Procura internacional de bienes</w:t>
      </w:r>
      <w:r w:rsidR="00455B8A" w:rsidRPr="001A3152">
        <w:rPr>
          <w:rFonts w:asciiTheme="minorHAnsi" w:eastAsiaTheme="minorHAnsi" w:hAnsiTheme="minorHAnsi"/>
          <w:sz w:val="22"/>
          <w:szCs w:val="22"/>
          <w:lang w:eastAsia="en-US"/>
        </w:rPr>
        <w:t>. “En diciembre de 2015, la fiscalía para el Distrito Sur de Texas, División de Houston, en Estados Unidos de América, presentó una acusación en contra de representantes de ciertas empresas contratistas y proveedores de PDVSA, por ciertas violaciones de leyes anticorrupción y contra el lavado de dinero, entre otros cargos, en relación con contratos de procura internacional de bienes y servicios conexos celebrados con una filial de PDVSA, durante el período comprendido entre los años 2009 y 2014. Adicionalmente, ciertos extrabajadores de una filial extranjera de PDVSA fueron acusados por los mismos hechos. Todos los acusados se declararon culpables en diferentes oportunidades procesales, entre finales de 2015 y junio de 2016”.</w:t>
      </w:r>
    </w:p>
    <w:p w:rsidR="006524FF" w:rsidRPr="001A3152" w:rsidRDefault="006524FF" w:rsidP="00455B8A">
      <w:pPr>
        <w:autoSpaceDE w:val="0"/>
        <w:autoSpaceDN w:val="0"/>
        <w:adjustRightInd w:val="0"/>
        <w:jc w:val="both"/>
        <w:rPr>
          <w:rFonts w:asciiTheme="minorHAnsi" w:eastAsiaTheme="minorHAnsi" w:hAnsiTheme="minorHAnsi"/>
          <w:sz w:val="22"/>
          <w:szCs w:val="22"/>
          <w:lang w:eastAsia="en-US"/>
        </w:rPr>
      </w:pPr>
    </w:p>
    <w:p w:rsidR="006524FF" w:rsidRPr="001A3152" w:rsidRDefault="006524FF" w:rsidP="00455B8A">
      <w:pPr>
        <w:autoSpaceDE w:val="0"/>
        <w:autoSpaceDN w:val="0"/>
        <w:adjustRightInd w:val="0"/>
        <w:jc w:val="both"/>
        <w:rPr>
          <w:rFonts w:asciiTheme="minorHAnsi" w:eastAsiaTheme="minorHAnsi" w:hAnsiTheme="minorHAnsi"/>
          <w:sz w:val="22"/>
          <w:szCs w:val="22"/>
          <w:lang w:eastAsia="en-US"/>
        </w:rPr>
      </w:pPr>
      <w:r w:rsidRPr="001A3152">
        <w:rPr>
          <w:rFonts w:asciiTheme="minorHAnsi" w:eastAsiaTheme="minorHAnsi" w:hAnsiTheme="minorHAnsi"/>
          <w:sz w:val="22"/>
          <w:szCs w:val="22"/>
          <w:lang w:eastAsia="en-US"/>
        </w:rPr>
        <w:t>La investigación en curso de la empresa ha permitido hasta ahora identificar asuntos de interés tales como:</w:t>
      </w:r>
    </w:p>
    <w:p w:rsidR="006524FF" w:rsidRPr="001A3152" w:rsidRDefault="006524FF" w:rsidP="006524FF">
      <w:pPr>
        <w:autoSpaceDE w:val="0"/>
        <w:autoSpaceDN w:val="0"/>
        <w:adjustRightInd w:val="0"/>
        <w:rPr>
          <w:rFonts w:asciiTheme="minorHAnsi" w:eastAsiaTheme="minorHAnsi" w:hAnsiTheme="minorHAnsi"/>
          <w:sz w:val="22"/>
          <w:szCs w:val="22"/>
          <w:lang w:eastAsia="en-US"/>
        </w:rPr>
      </w:pPr>
    </w:p>
    <w:p w:rsidR="006524FF" w:rsidRPr="001A3152" w:rsidRDefault="006524FF" w:rsidP="006524FF">
      <w:pPr>
        <w:autoSpaceDE w:val="0"/>
        <w:autoSpaceDN w:val="0"/>
        <w:adjustRightInd w:val="0"/>
        <w:jc w:val="both"/>
        <w:rPr>
          <w:rFonts w:asciiTheme="minorHAnsi" w:eastAsiaTheme="minorHAnsi" w:hAnsiTheme="minorHAnsi"/>
          <w:sz w:val="22"/>
          <w:szCs w:val="22"/>
          <w:lang w:eastAsia="en-US"/>
        </w:rPr>
      </w:pPr>
      <w:r w:rsidRPr="001A3152">
        <w:rPr>
          <w:rFonts w:asciiTheme="minorHAnsi" w:eastAsiaTheme="minorHAnsi" w:hAnsiTheme="minorHAnsi"/>
          <w:sz w:val="22"/>
          <w:szCs w:val="22"/>
          <w:lang w:eastAsia="en-US"/>
        </w:rPr>
        <w:t>“Confirmar que la Compañía ha sido víctima de fraude en su proceso de procura internacional de bienes y servicios conexos.”</w:t>
      </w:r>
    </w:p>
    <w:p w:rsidR="006524FF" w:rsidRPr="001A3152" w:rsidRDefault="006524FF" w:rsidP="006524FF">
      <w:pPr>
        <w:autoSpaceDE w:val="0"/>
        <w:autoSpaceDN w:val="0"/>
        <w:adjustRightInd w:val="0"/>
        <w:jc w:val="both"/>
        <w:rPr>
          <w:rFonts w:asciiTheme="minorHAnsi" w:eastAsiaTheme="minorHAnsi" w:hAnsiTheme="minorHAnsi"/>
          <w:sz w:val="22"/>
          <w:szCs w:val="22"/>
          <w:lang w:eastAsia="en-US"/>
        </w:rPr>
      </w:pPr>
    </w:p>
    <w:p w:rsidR="00E724A5" w:rsidRPr="001A3152" w:rsidRDefault="006524FF" w:rsidP="006524FF">
      <w:pPr>
        <w:autoSpaceDE w:val="0"/>
        <w:autoSpaceDN w:val="0"/>
        <w:adjustRightInd w:val="0"/>
        <w:jc w:val="both"/>
        <w:rPr>
          <w:rFonts w:asciiTheme="minorHAnsi" w:eastAsiaTheme="minorHAnsi" w:hAnsiTheme="minorHAnsi"/>
          <w:sz w:val="22"/>
          <w:szCs w:val="22"/>
          <w:lang w:eastAsia="en-US"/>
        </w:rPr>
      </w:pPr>
      <w:r w:rsidRPr="001A3152">
        <w:rPr>
          <w:rFonts w:asciiTheme="minorHAnsi" w:eastAsiaTheme="minorHAnsi" w:hAnsiTheme="minorHAnsi"/>
          <w:sz w:val="22"/>
          <w:szCs w:val="22"/>
          <w:lang w:eastAsia="en-US"/>
        </w:rPr>
        <w:t xml:space="preserve">“PDVSA y sus especialistas externos han estimado que la investigación se extenderá un tiempo, y podría requerir cambios en su alcance en la medida en que avance; por lo tanto, tal investigación está sujeta a una serie de incertidumbres cuyo posible efecto final sobre los resultados de las operaciones y la situación financiera consolidada de PDVSA no se puede determinar con suficiente precisión en este momento.” </w:t>
      </w:r>
      <w:r w:rsidR="00455B8A" w:rsidRPr="001A3152">
        <w:rPr>
          <w:rFonts w:asciiTheme="minorHAnsi" w:eastAsiaTheme="minorHAnsi" w:hAnsiTheme="minorHAnsi"/>
          <w:b/>
          <w:sz w:val="22"/>
          <w:szCs w:val="22"/>
          <w:lang w:eastAsia="en-US"/>
        </w:rPr>
        <w:t>Fuente</w:t>
      </w:r>
      <w:r w:rsidR="00455B8A" w:rsidRPr="001A3152">
        <w:rPr>
          <w:rFonts w:asciiTheme="minorHAnsi" w:eastAsiaTheme="minorHAnsi" w:hAnsiTheme="minorHAnsi"/>
          <w:sz w:val="22"/>
          <w:szCs w:val="22"/>
          <w:lang w:eastAsia="en-US"/>
        </w:rPr>
        <w:t>: Estados Financieros Conso</w:t>
      </w:r>
      <w:r w:rsidR="00C2238B" w:rsidRPr="001A3152">
        <w:rPr>
          <w:rFonts w:asciiTheme="minorHAnsi" w:eastAsiaTheme="minorHAnsi" w:hAnsiTheme="minorHAnsi"/>
          <w:sz w:val="22"/>
          <w:szCs w:val="22"/>
          <w:lang w:eastAsia="en-US"/>
        </w:rPr>
        <w:t>lidados. Con el Informe de los Contadores Públicos Independientes. 31 de diciembre de 2015</w:t>
      </w:r>
      <w:r w:rsidR="00455B8A" w:rsidRPr="001A3152">
        <w:rPr>
          <w:rFonts w:asciiTheme="minorHAnsi" w:eastAsiaTheme="minorHAnsi" w:hAnsiTheme="minorHAnsi"/>
          <w:sz w:val="22"/>
          <w:szCs w:val="22"/>
          <w:lang w:eastAsia="en-US"/>
        </w:rPr>
        <w:t>.</w:t>
      </w:r>
      <w:r w:rsidR="00721AD9" w:rsidRPr="001A3152">
        <w:rPr>
          <w:rFonts w:asciiTheme="minorHAnsi" w:hAnsiTheme="minorHAnsi"/>
          <w:color w:val="000000"/>
          <w:sz w:val="22"/>
          <w:szCs w:val="22"/>
        </w:rPr>
        <w:t xml:space="preserve">  Caracas. 30 de Junio de 2016</w:t>
      </w:r>
      <w:r w:rsidR="00455B8A" w:rsidRPr="001A3152">
        <w:rPr>
          <w:rFonts w:asciiTheme="minorHAnsi" w:hAnsiTheme="minorHAnsi"/>
          <w:color w:val="000000"/>
          <w:sz w:val="22"/>
          <w:szCs w:val="22"/>
        </w:rPr>
        <w:t>.</w:t>
      </w:r>
      <w:r w:rsidR="003B0F92" w:rsidRPr="001A3152">
        <w:rPr>
          <w:rFonts w:asciiTheme="minorHAnsi" w:hAnsiTheme="minorHAnsi"/>
          <w:color w:val="000000"/>
          <w:sz w:val="22"/>
          <w:szCs w:val="22"/>
        </w:rPr>
        <w:t>Nota 32.</w:t>
      </w:r>
    </w:p>
    <w:p w:rsidR="00455B8A" w:rsidRPr="001A3152" w:rsidRDefault="00455B8A" w:rsidP="00455B8A">
      <w:pPr>
        <w:autoSpaceDE w:val="0"/>
        <w:autoSpaceDN w:val="0"/>
        <w:adjustRightInd w:val="0"/>
        <w:jc w:val="both"/>
        <w:rPr>
          <w:rFonts w:asciiTheme="minorHAnsi" w:hAnsiTheme="minorHAnsi"/>
          <w:color w:val="000000"/>
          <w:sz w:val="22"/>
          <w:szCs w:val="22"/>
        </w:rPr>
      </w:pPr>
    </w:p>
    <w:p w:rsidR="00E724A5" w:rsidRPr="001A3152" w:rsidRDefault="00025615" w:rsidP="0034687B">
      <w:pPr>
        <w:spacing w:after="100" w:afterAutospacing="1"/>
        <w:contextualSpacing/>
        <w:jc w:val="both"/>
        <w:rPr>
          <w:rStyle w:val="Hyperlink"/>
          <w:rFonts w:asciiTheme="minorHAnsi" w:hAnsiTheme="minorHAnsi"/>
          <w:sz w:val="22"/>
          <w:szCs w:val="22"/>
        </w:rPr>
      </w:pPr>
      <w:r>
        <w:rPr>
          <w:rFonts w:asciiTheme="minorHAnsi" w:hAnsiTheme="minorHAnsi"/>
          <w:b/>
          <w:sz w:val="22"/>
          <w:szCs w:val="22"/>
        </w:rPr>
        <w:t>1</w:t>
      </w:r>
      <w:r w:rsidR="00455B8A" w:rsidRPr="001A3152">
        <w:rPr>
          <w:rFonts w:asciiTheme="minorHAnsi" w:hAnsiTheme="minorHAnsi"/>
          <w:b/>
          <w:sz w:val="22"/>
          <w:szCs w:val="22"/>
        </w:rPr>
        <w:t>.3.2</w:t>
      </w:r>
      <w:r w:rsidR="00E724A5" w:rsidRPr="001A3152">
        <w:rPr>
          <w:rFonts w:asciiTheme="minorHAnsi" w:hAnsiTheme="minorHAnsi"/>
          <w:b/>
          <w:sz w:val="22"/>
          <w:szCs w:val="22"/>
        </w:rPr>
        <w:t xml:space="preserve">. </w:t>
      </w:r>
      <w:r w:rsidR="001E5659" w:rsidRPr="001A3152">
        <w:rPr>
          <w:rFonts w:asciiTheme="minorHAnsi" w:hAnsiTheme="minorHAnsi"/>
          <w:b/>
          <w:sz w:val="22"/>
          <w:szCs w:val="22"/>
        </w:rPr>
        <w:t>Banca Privada de Andorra (BPA)</w:t>
      </w:r>
      <w:r w:rsidR="001E5659" w:rsidRPr="001A3152">
        <w:rPr>
          <w:rFonts w:asciiTheme="minorHAnsi" w:hAnsiTheme="minorHAnsi"/>
          <w:sz w:val="22"/>
          <w:szCs w:val="22"/>
        </w:rPr>
        <w:t xml:space="preserve">. </w:t>
      </w:r>
      <w:r w:rsidR="00E724A5" w:rsidRPr="001A3152">
        <w:rPr>
          <w:rFonts w:asciiTheme="minorHAnsi" w:hAnsiTheme="minorHAnsi"/>
          <w:sz w:val="22"/>
          <w:szCs w:val="22"/>
        </w:rPr>
        <w:t>Depósitos por dos mil millones de dólares</w:t>
      </w:r>
      <w:r w:rsidR="001E5659" w:rsidRPr="001A3152">
        <w:rPr>
          <w:rFonts w:asciiTheme="minorHAnsi" w:hAnsiTheme="minorHAnsi"/>
          <w:sz w:val="22"/>
          <w:szCs w:val="22"/>
        </w:rPr>
        <w:t xml:space="preserve"> en la BPA</w:t>
      </w:r>
      <w:r w:rsidR="00E724A5" w:rsidRPr="001A3152">
        <w:rPr>
          <w:rFonts w:asciiTheme="minorHAnsi" w:hAnsiTheme="minorHAnsi"/>
          <w:sz w:val="22"/>
          <w:szCs w:val="22"/>
        </w:rPr>
        <w:t>, ubicada en Los Pirineos, entre España y Francia, el 10 de marzo de 2015</w:t>
      </w:r>
      <w:r w:rsidR="000E020E" w:rsidRPr="001A3152">
        <w:rPr>
          <w:rFonts w:asciiTheme="minorHAnsi" w:hAnsiTheme="minorHAnsi"/>
          <w:sz w:val="22"/>
          <w:szCs w:val="22"/>
        </w:rPr>
        <w:t>, en los que Pdvsa apareció involucrada</w:t>
      </w:r>
      <w:r w:rsidR="002633A5" w:rsidRPr="001A3152">
        <w:rPr>
          <w:rFonts w:asciiTheme="minorHAnsi" w:hAnsiTheme="minorHAnsi"/>
          <w:sz w:val="22"/>
          <w:szCs w:val="22"/>
        </w:rPr>
        <w:t>.</w:t>
      </w:r>
      <w:r w:rsidR="00E724A5" w:rsidRPr="001A3152">
        <w:rPr>
          <w:rFonts w:asciiTheme="minorHAnsi" w:hAnsiTheme="minorHAnsi"/>
          <w:b/>
          <w:sz w:val="22"/>
          <w:szCs w:val="22"/>
        </w:rPr>
        <w:t>Fuentes</w:t>
      </w:r>
      <w:r w:rsidR="00E724A5" w:rsidRPr="001A3152">
        <w:rPr>
          <w:rFonts w:asciiTheme="minorHAnsi" w:hAnsiTheme="minorHAnsi"/>
          <w:sz w:val="22"/>
          <w:szCs w:val="22"/>
        </w:rPr>
        <w:t xml:space="preserve">: </w:t>
      </w:r>
      <w:hyperlink r:id="rId11" w:history="1">
        <w:r w:rsidR="00E724A5" w:rsidRPr="001A3152">
          <w:rPr>
            <w:rStyle w:val="Hyperlink"/>
            <w:rFonts w:asciiTheme="minorHAnsi" w:hAnsiTheme="minorHAnsi"/>
            <w:sz w:val="22"/>
            <w:szCs w:val="22"/>
          </w:rPr>
          <w:t>http://dorlaw.com/pdfs/070101545-2015-FinCEN.pdf</w:t>
        </w:r>
      </w:hyperlink>
      <w:r w:rsidR="00E724A5" w:rsidRPr="001A3152">
        <w:rPr>
          <w:rFonts w:asciiTheme="minorHAnsi" w:hAnsiTheme="minorHAnsi"/>
          <w:sz w:val="22"/>
          <w:szCs w:val="22"/>
        </w:rPr>
        <w:t xml:space="preserve"> y </w:t>
      </w:r>
      <w:hyperlink r:id="rId12" w:history="1">
        <w:r w:rsidR="00E724A5" w:rsidRPr="001A3152">
          <w:rPr>
            <w:rStyle w:val="Hyperlink"/>
            <w:rFonts w:asciiTheme="minorHAnsi" w:hAnsiTheme="minorHAnsi"/>
            <w:sz w:val="22"/>
            <w:szCs w:val="22"/>
          </w:rPr>
          <w:t>https://www.wsj.com/articles/u-s-investigates-venezuelan-oil-giant-1445478342</w:t>
        </w:r>
      </w:hyperlink>
    </w:p>
    <w:p w:rsidR="00E724A5" w:rsidRPr="001A3152" w:rsidRDefault="00E724A5" w:rsidP="0034687B">
      <w:pPr>
        <w:spacing w:after="100" w:afterAutospacing="1"/>
        <w:contextualSpacing/>
        <w:jc w:val="both"/>
        <w:rPr>
          <w:rFonts w:asciiTheme="minorHAnsi" w:hAnsiTheme="minorHAnsi"/>
          <w:sz w:val="22"/>
          <w:szCs w:val="22"/>
        </w:rPr>
      </w:pPr>
    </w:p>
    <w:p w:rsidR="00E724A5" w:rsidRPr="001A3152" w:rsidRDefault="00025615" w:rsidP="0034687B">
      <w:pPr>
        <w:spacing w:after="100" w:afterAutospacing="1"/>
        <w:contextualSpacing/>
        <w:jc w:val="both"/>
        <w:rPr>
          <w:rFonts w:asciiTheme="minorHAnsi" w:hAnsiTheme="minorHAnsi"/>
          <w:sz w:val="22"/>
          <w:szCs w:val="22"/>
        </w:rPr>
      </w:pPr>
      <w:r>
        <w:rPr>
          <w:rFonts w:asciiTheme="minorHAnsi" w:hAnsiTheme="minorHAnsi"/>
          <w:b/>
          <w:sz w:val="22"/>
          <w:szCs w:val="22"/>
        </w:rPr>
        <w:t>1</w:t>
      </w:r>
      <w:r w:rsidR="00455B8A" w:rsidRPr="001A3152">
        <w:rPr>
          <w:rFonts w:asciiTheme="minorHAnsi" w:hAnsiTheme="minorHAnsi"/>
          <w:b/>
          <w:sz w:val="22"/>
          <w:szCs w:val="22"/>
        </w:rPr>
        <w:t>.3.3</w:t>
      </w:r>
      <w:r w:rsidR="00E724A5" w:rsidRPr="001A3152">
        <w:rPr>
          <w:rFonts w:asciiTheme="minorHAnsi" w:hAnsiTheme="minorHAnsi"/>
          <w:b/>
          <w:sz w:val="22"/>
          <w:szCs w:val="22"/>
        </w:rPr>
        <w:t>.</w:t>
      </w:r>
      <w:r w:rsidR="001E5659" w:rsidRPr="001A3152">
        <w:rPr>
          <w:rFonts w:asciiTheme="minorHAnsi" w:hAnsiTheme="minorHAnsi"/>
          <w:b/>
          <w:sz w:val="22"/>
          <w:szCs w:val="22"/>
        </w:rPr>
        <w:t>Fondo de Pensiones de Pdvsa</w:t>
      </w:r>
      <w:r w:rsidR="001E5659" w:rsidRPr="001A3152">
        <w:rPr>
          <w:rFonts w:asciiTheme="minorHAnsi" w:hAnsiTheme="minorHAnsi"/>
          <w:sz w:val="22"/>
          <w:szCs w:val="22"/>
        </w:rPr>
        <w:t xml:space="preserve">. </w:t>
      </w:r>
      <w:r w:rsidR="0034687B" w:rsidRPr="001A3152">
        <w:rPr>
          <w:rFonts w:asciiTheme="minorHAnsi" w:hAnsiTheme="minorHAnsi"/>
          <w:sz w:val="22"/>
          <w:szCs w:val="22"/>
        </w:rPr>
        <w:t xml:space="preserve">Francisco Illaramendi (propietario de MK Group) se declaró culpable de estafar a sus clientes ante la Fiscalía Federal de Connecticut, EE.UU., el 14 de septiembre de 2011. </w:t>
      </w:r>
      <w:r w:rsidR="00E724A5" w:rsidRPr="001A3152">
        <w:rPr>
          <w:rFonts w:asciiTheme="minorHAnsi" w:hAnsiTheme="minorHAnsi"/>
          <w:color w:val="000000"/>
          <w:sz w:val="22"/>
          <w:szCs w:val="22"/>
        </w:rPr>
        <w:t xml:space="preserve">Pdvsa </w:t>
      </w:r>
      <w:r w:rsidR="0034687B" w:rsidRPr="001A3152">
        <w:rPr>
          <w:rFonts w:asciiTheme="minorHAnsi" w:hAnsiTheme="minorHAnsi"/>
          <w:color w:val="000000"/>
          <w:sz w:val="22"/>
          <w:szCs w:val="22"/>
        </w:rPr>
        <w:t>había confiado</w:t>
      </w:r>
      <w:r w:rsidR="00E724A5" w:rsidRPr="001A3152">
        <w:rPr>
          <w:rFonts w:asciiTheme="minorHAnsi" w:hAnsiTheme="minorHAnsi"/>
          <w:color w:val="000000"/>
          <w:sz w:val="22"/>
          <w:szCs w:val="22"/>
        </w:rPr>
        <w:t xml:space="preserve"> $ 500 millones de su </w:t>
      </w:r>
      <w:r w:rsidR="00E724A5" w:rsidRPr="001A3152">
        <w:rPr>
          <w:rFonts w:asciiTheme="minorHAnsi" w:hAnsiTheme="minorHAnsi"/>
          <w:sz w:val="22"/>
          <w:szCs w:val="22"/>
        </w:rPr>
        <w:t>Fondo de Pensiones</w:t>
      </w:r>
      <w:r w:rsidR="00E724A5" w:rsidRPr="001A3152">
        <w:rPr>
          <w:rFonts w:asciiTheme="minorHAnsi" w:hAnsiTheme="minorHAnsi"/>
          <w:color w:val="000000"/>
          <w:sz w:val="22"/>
          <w:szCs w:val="22"/>
        </w:rPr>
        <w:t xml:space="preserve"> entre 2009-2010</w:t>
      </w:r>
      <w:r w:rsidR="0034687B" w:rsidRPr="001A3152">
        <w:rPr>
          <w:rFonts w:asciiTheme="minorHAnsi" w:hAnsiTheme="minorHAnsi"/>
          <w:color w:val="000000"/>
          <w:sz w:val="22"/>
          <w:szCs w:val="22"/>
        </w:rPr>
        <w:t xml:space="preserve"> a MKGroup</w:t>
      </w:r>
      <w:r w:rsidR="00E724A5" w:rsidRPr="001A3152">
        <w:rPr>
          <w:rFonts w:asciiTheme="minorHAnsi" w:hAnsiTheme="minorHAnsi"/>
          <w:color w:val="000000"/>
          <w:sz w:val="22"/>
          <w:szCs w:val="22"/>
        </w:rPr>
        <w:t>.</w:t>
      </w:r>
      <w:r w:rsidR="00E724A5" w:rsidRPr="001A3152">
        <w:rPr>
          <w:rFonts w:asciiTheme="minorHAnsi" w:hAnsiTheme="minorHAnsi"/>
          <w:b/>
          <w:sz w:val="22"/>
          <w:szCs w:val="22"/>
        </w:rPr>
        <w:t>Fuente</w:t>
      </w:r>
      <w:r w:rsidR="00E724A5" w:rsidRPr="001A3152">
        <w:rPr>
          <w:rFonts w:asciiTheme="minorHAnsi" w:hAnsiTheme="minorHAnsi"/>
          <w:sz w:val="22"/>
          <w:szCs w:val="22"/>
        </w:rPr>
        <w:t xml:space="preserve">: </w:t>
      </w:r>
      <w:hyperlink r:id="rId13" w:history="1">
        <w:r w:rsidR="00E724A5" w:rsidRPr="001A3152">
          <w:rPr>
            <w:rStyle w:val="Hyperlink"/>
            <w:rFonts w:asciiTheme="minorHAnsi" w:hAnsiTheme="minorHAnsi"/>
            <w:sz w:val="22"/>
            <w:szCs w:val="22"/>
          </w:rPr>
          <w:t>http://www.elmundo.com.ve/noticias/petroleo/pdvsa/una-estafa-desnuda-el-descontrol-en-pdvsa.aspx</w:t>
        </w:r>
      </w:hyperlink>
    </w:p>
    <w:p w:rsidR="008E2CBB" w:rsidRPr="001A3152" w:rsidRDefault="008E2CBB" w:rsidP="008E2CBB">
      <w:pPr>
        <w:spacing w:after="100" w:afterAutospacing="1"/>
        <w:contextualSpacing/>
        <w:jc w:val="both"/>
        <w:rPr>
          <w:rFonts w:asciiTheme="minorHAnsi" w:hAnsiTheme="minorHAnsi"/>
          <w:sz w:val="22"/>
          <w:szCs w:val="22"/>
        </w:rPr>
      </w:pPr>
    </w:p>
    <w:p w:rsidR="00085AA8" w:rsidRPr="001A3152" w:rsidRDefault="00025615" w:rsidP="00773434">
      <w:pPr>
        <w:spacing w:after="100" w:afterAutospacing="1"/>
        <w:contextualSpacing/>
        <w:jc w:val="both"/>
        <w:rPr>
          <w:rStyle w:val="Hyperlink"/>
          <w:rFonts w:asciiTheme="minorHAnsi" w:hAnsiTheme="minorHAnsi"/>
          <w:sz w:val="22"/>
          <w:szCs w:val="22"/>
        </w:rPr>
      </w:pPr>
      <w:r>
        <w:rPr>
          <w:rFonts w:asciiTheme="minorHAnsi" w:hAnsiTheme="minorHAnsi"/>
          <w:b/>
          <w:sz w:val="22"/>
          <w:szCs w:val="22"/>
        </w:rPr>
        <w:t>1</w:t>
      </w:r>
      <w:r w:rsidR="00455B8A" w:rsidRPr="001A3152">
        <w:rPr>
          <w:rFonts w:asciiTheme="minorHAnsi" w:hAnsiTheme="minorHAnsi"/>
          <w:b/>
          <w:sz w:val="22"/>
          <w:szCs w:val="22"/>
        </w:rPr>
        <w:t>.3.4</w:t>
      </w:r>
      <w:r w:rsidR="00E724A5" w:rsidRPr="001A3152">
        <w:rPr>
          <w:rFonts w:asciiTheme="minorHAnsi" w:hAnsiTheme="minorHAnsi"/>
          <w:b/>
          <w:sz w:val="22"/>
          <w:szCs w:val="22"/>
        </w:rPr>
        <w:t xml:space="preserve">. </w:t>
      </w:r>
      <w:r w:rsidR="001E5659" w:rsidRPr="001A3152">
        <w:rPr>
          <w:rFonts w:asciiTheme="minorHAnsi" w:hAnsiTheme="minorHAnsi"/>
          <w:b/>
          <w:sz w:val="22"/>
          <w:szCs w:val="22"/>
        </w:rPr>
        <w:t>Plataforma Aban-Pearl</w:t>
      </w:r>
      <w:r w:rsidR="001E5659" w:rsidRPr="001A3152">
        <w:rPr>
          <w:rFonts w:asciiTheme="minorHAnsi" w:hAnsiTheme="minorHAnsi"/>
          <w:sz w:val="22"/>
          <w:szCs w:val="22"/>
        </w:rPr>
        <w:t xml:space="preserve">. </w:t>
      </w:r>
      <w:r w:rsidR="00FE6FDC" w:rsidRPr="001A3152">
        <w:rPr>
          <w:rFonts w:asciiTheme="minorHAnsi" w:hAnsiTheme="minorHAnsi"/>
          <w:sz w:val="22"/>
          <w:szCs w:val="22"/>
        </w:rPr>
        <w:t>El h</w:t>
      </w:r>
      <w:r w:rsidR="00E724A5" w:rsidRPr="001A3152">
        <w:rPr>
          <w:rFonts w:asciiTheme="minorHAnsi" w:hAnsiTheme="minorHAnsi"/>
          <w:sz w:val="22"/>
          <w:szCs w:val="22"/>
        </w:rPr>
        <w:t xml:space="preserve">undimiento de la plataforma semi-sumersible Aban Pearl </w:t>
      </w:r>
      <w:r w:rsidR="00A11823" w:rsidRPr="001A3152">
        <w:rPr>
          <w:rFonts w:asciiTheme="minorHAnsi" w:hAnsiTheme="minorHAnsi"/>
          <w:sz w:val="22"/>
          <w:szCs w:val="22"/>
        </w:rPr>
        <w:t xml:space="preserve">el 13 de mayo de 2010, </w:t>
      </w:r>
      <w:r w:rsidR="00FE6FDC" w:rsidRPr="001A3152">
        <w:rPr>
          <w:rFonts w:asciiTheme="minorHAnsi" w:hAnsiTheme="minorHAnsi"/>
          <w:sz w:val="22"/>
          <w:szCs w:val="22"/>
        </w:rPr>
        <w:t>a 150 km de la costa del Estado Sucre</w:t>
      </w:r>
      <w:r w:rsidR="00E724A5" w:rsidRPr="001A3152">
        <w:rPr>
          <w:rFonts w:asciiTheme="minorHAnsi" w:hAnsiTheme="minorHAnsi"/>
          <w:sz w:val="22"/>
          <w:szCs w:val="22"/>
        </w:rPr>
        <w:t>, dejó entrever un supuesto sobreprecio en el a</w:t>
      </w:r>
      <w:r w:rsidR="0034687B" w:rsidRPr="001A3152">
        <w:rPr>
          <w:rFonts w:asciiTheme="minorHAnsi" w:hAnsiTheme="minorHAnsi"/>
          <w:sz w:val="22"/>
          <w:szCs w:val="22"/>
        </w:rPr>
        <w:t>rrendamiento</w:t>
      </w:r>
      <w:r w:rsidR="000E020E" w:rsidRPr="001A3152">
        <w:rPr>
          <w:rFonts w:asciiTheme="minorHAnsi" w:hAnsiTheme="minorHAnsi"/>
          <w:sz w:val="22"/>
          <w:szCs w:val="22"/>
        </w:rPr>
        <w:t xml:space="preserve">que Pdvsa había hecho </w:t>
      </w:r>
      <w:r w:rsidR="0034687B" w:rsidRPr="001A3152">
        <w:rPr>
          <w:rFonts w:asciiTheme="minorHAnsi" w:hAnsiTheme="minorHAnsi"/>
          <w:sz w:val="22"/>
          <w:szCs w:val="22"/>
        </w:rPr>
        <w:t xml:space="preserve">de esa </w:t>
      </w:r>
      <w:r w:rsidR="000E020E" w:rsidRPr="001A3152">
        <w:rPr>
          <w:rFonts w:asciiTheme="minorHAnsi" w:hAnsiTheme="minorHAnsi"/>
          <w:sz w:val="22"/>
          <w:szCs w:val="22"/>
        </w:rPr>
        <w:t>plataforma</w:t>
      </w:r>
      <w:r w:rsidR="00FE6FDC" w:rsidRPr="001A3152">
        <w:rPr>
          <w:rFonts w:asciiTheme="minorHAnsi" w:hAnsiTheme="minorHAnsi"/>
          <w:sz w:val="22"/>
          <w:szCs w:val="22"/>
        </w:rPr>
        <w:t xml:space="preserve">a </w:t>
      </w:r>
      <w:r w:rsidR="00E724A5" w:rsidRPr="001A3152">
        <w:rPr>
          <w:rFonts w:asciiTheme="minorHAnsi" w:hAnsiTheme="minorHAnsi"/>
          <w:sz w:val="22"/>
          <w:szCs w:val="22"/>
        </w:rPr>
        <w:t>Petromarin</w:t>
      </w:r>
      <w:r w:rsidR="0034687B" w:rsidRPr="001A3152">
        <w:rPr>
          <w:rFonts w:asciiTheme="minorHAnsi" w:hAnsiTheme="minorHAnsi"/>
          <w:sz w:val="22"/>
          <w:szCs w:val="22"/>
        </w:rPr>
        <w:t xml:space="preserve">e Energy Service Ltd (Singapur) </w:t>
      </w:r>
      <w:r w:rsidR="00E724A5" w:rsidRPr="001A3152">
        <w:rPr>
          <w:rFonts w:asciiTheme="minorHAnsi" w:hAnsiTheme="minorHAnsi"/>
          <w:sz w:val="22"/>
          <w:szCs w:val="22"/>
        </w:rPr>
        <w:t>en el 2008 por 5 años y por $358.000 diarios</w:t>
      </w:r>
      <w:r w:rsidR="0034687B" w:rsidRPr="001A3152">
        <w:rPr>
          <w:rFonts w:asciiTheme="minorHAnsi" w:hAnsiTheme="minorHAnsi"/>
          <w:sz w:val="22"/>
          <w:szCs w:val="22"/>
        </w:rPr>
        <w:t xml:space="preserve">. </w:t>
      </w:r>
      <w:r w:rsidR="0034687B" w:rsidRPr="001A3152">
        <w:rPr>
          <w:rFonts w:asciiTheme="minorHAnsi" w:hAnsiTheme="minorHAnsi"/>
          <w:b/>
          <w:sz w:val="22"/>
          <w:szCs w:val="22"/>
        </w:rPr>
        <w:t>Fuente</w:t>
      </w:r>
      <w:r w:rsidR="0034687B" w:rsidRPr="001A3152">
        <w:rPr>
          <w:rFonts w:asciiTheme="minorHAnsi" w:hAnsiTheme="minorHAnsi"/>
          <w:sz w:val="22"/>
          <w:szCs w:val="22"/>
        </w:rPr>
        <w:t>:</w:t>
      </w:r>
      <w:hyperlink r:id="rId14" w:history="1">
        <w:r w:rsidR="00C72F0A" w:rsidRPr="001A3152">
          <w:rPr>
            <w:rStyle w:val="Hyperlink"/>
            <w:rFonts w:asciiTheme="minorHAnsi" w:hAnsiTheme="minorHAnsi"/>
            <w:sz w:val="22"/>
            <w:szCs w:val="22"/>
          </w:rPr>
          <w:t>http://lasarmasdecoronel.blogspot.com/2014/11/mi-denuncia-sobre-el-aban-pearl-cumple.html</w:t>
        </w:r>
      </w:hyperlink>
    </w:p>
    <w:p w:rsidR="00BC4C33" w:rsidRPr="001A3152" w:rsidRDefault="00BC4C33" w:rsidP="00773434">
      <w:pPr>
        <w:spacing w:after="100" w:afterAutospacing="1"/>
        <w:contextualSpacing/>
        <w:jc w:val="both"/>
        <w:rPr>
          <w:rStyle w:val="Hyperlink"/>
          <w:rFonts w:asciiTheme="minorHAnsi" w:hAnsiTheme="minorHAnsi"/>
          <w:sz w:val="22"/>
          <w:szCs w:val="22"/>
        </w:rPr>
      </w:pPr>
    </w:p>
    <w:p w:rsidR="000A39DE" w:rsidRPr="001A3152" w:rsidRDefault="000A39DE" w:rsidP="00C54185">
      <w:pPr>
        <w:tabs>
          <w:tab w:val="left" w:pos="2112"/>
        </w:tabs>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II.</w:t>
      </w:r>
      <w:r w:rsidR="00025615">
        <w:rPr>
          <w:rFonts w:asciiTheme="minorHAnsi" w:hAnsiTheme="minorHAnsi"/>
          <w:b/>
          <w:sz w:val="22"/>
          <w:szCs w:val="22"/>
        </w:rPr>
        <w:t xml:space="preserve"> El sector petrolero nacional a lo largo de su historia</w:t>
      </w: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 actividad petrolera nacional, en sentido estricto, nació en Rubio en 1882, cuando un grupo de seis venezolanos creó la Compañía Petrolia del Táchira para explotar el recurso descubierto en la hacienda “La Alquitrana”, refinarlo para producir kerosene y gasolina y comercializarlos en el Estado Táchira y el Departamento Norte de Santander, Colombia.</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Sin embargo, en 1920, cuando el Estado nacional promulgó la primera Ley de Hidrocarburos, el país se deslindó institucionalmente entre el pasado minero y el futuro petrolero, entre la Venezuela agr</w:t>
      </w:r>
      <w:r w:rsidR="00025615">
        <w:rPr>
          <w:rFonts w:asciiTheme="minorHAnsi" w:hAnsiTheme="minorHAnsi"/>
          <w:sz w:val="22"/>
          <w:szCs w:val="22"/>
        </w:rPr>
        <w:t xml:space="preserve">o-minero-exportadora, atrasada </w:t>
      </w:r>
      <w:r w:rsidRPr="001A3152">
        <w:rPr>
          <w:rFonts w:asciiTheme="minorHAnsi" w:hAnsiTheme="minorHAnsi"/>
          <w:sz w:val="22"/>
          <w:szCs w:val="22"/>
        </w:rPr>
        <w:t>y rural, y la Venezuela exportadora de petróleo, moderna y urbana. Desde entonces, los yacimientos de petróleo y gas existentes en el subsuelo del territorio nacional pertenecen exclusivamente al Estado central venezolano.</w:t>
      </w:r>
      <w:r w:rsidR="00025615">
        <w:rPr>
          <w:rFonts w:asciiTheme="minorHAnsi" w:hAnsiTheme="minorHAnsi"/>
          <w:sz w:val="22"/>
          <w:szCs w:val="22"/>
        </w:rPr>
        <w:t xml:space="preserve"> </w:t>
      </w:r>
      <w:r w:rsidRPr="001A3152">
        <w:rPr>
          <w:rFonts w:asciiTheme="minorHAnsi" w:hAnsiTheme="minorHAnsi"/>
          <w:sz w:val="22"/>
          <w:szCs w:val="22"/>
        </w:rPr>
        <w:t>Por consiguiente, el recurso natural es de propiedad pública, nacional y estatal.</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El Estado central se erigió así como el único agente político y económico nacional que concentra la responsabilidad de otorgar concesiones o licencias por tiempo determinado y en ciertas áreas a los agentes económicos que las soliciten para explorarlas y explotarlas, a cambio del compromiso de éstos de pagar al Estado central ciertas cantidades de dinero por el otorgamiento de la concesión o licencia (prima de firma de contrato), más los impuestos periódicos por las superficies de terreno otorgadas, más la retribución por la propiedad del recurso extraído (la regalía) y más los montos correspondientes al impuesto sobre las ganancias obtenidas (impuesto sobre la renta).</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Esta centralización y concentración de competencias petroleras en el Estado central acaeció a través de un proceso de reformas institucionales sucesivas (Ley de Hidrocarburos de 1922, 1925, 1928, 1935, 1936, 1938, 1943, 1965, 1967, 2001 y 2006) y de la creación y reforma del régimen tributario (Ley de Impuesto Sobre la Renta, particularmente) durante cuatro períodos: 1920-1975, 1976-1990, 1991-2000 y 2001-actualidad.</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lastRenderedPageBreak/>
        <w:t xml:space="preserve">1920-1975. Paulatinamente, el Estado central venezolano se fue desembarazando de los agentes económicos nacionales que le estorbaban para quedar como único agente económico y político frente a las compañías petroleras. Estos agentes nacionales, como los propietarios privados del suelo, las municipalidades y empresas petroleras de capital nacional, pretendieron en diversos momentos de la historia tener derechos sobre los ingresos petroleros o sobre el negocio mismo. Paso a paso, el Estado central los fue apartando del negocio. Primero, sacó a las municipalidades; luego, a los particulares que habían obtenido concesiones para traspasarlas a empresas petroleras extranjeras a cambio de pingües ganancias o regalías personales y, finalmente, a las empresas de capital venezolano o mayormente venezolano. </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 llamada “nacionalización” petrolera, de agosto de 1975 (Ley Orgánica que Reserva al Estado la Industria y el Comercio de los Hidrocarburos), estatizó las 22 empresas concesionarias que operaban en Venezuela: 19 extranjeras y 3 venezolanas (Petrolera Las Mercedes, Talón y Mito Juan); y creó Petróleos de Venezuela, Sociedad Anónima (Pdvsa), encargada del monopolio nacional sectorial y propietaria de las 14 nuevas compañías anónimas, filiales de Pdvsa, CVP, S.A., antiguo Instituto Autónomo Corporación Venezolana del Petróleo (tabla Nº 1.1.).</w:t>
      </w:r>
    </w:p>
    <w:p w:rsidR="00BC4C33" w:rsidRPr="001A3152" w:rsidRDefault="00BC4C33" w:rsidP="00BC4C33">
      <w:pPr>
        <w:spacing w:after="100" w:afterAutospacing="1"/>
        <w:contextualSpacing/>
        <w:jc w:val="both"/>
        <w:rPr>
          <w:rFonts w:asciiTheme="minorHAnsi" w:hAnsiTheme="minorHAnsi"/>
          <w:sz w:val="22"/>
          <w:szCs w:val="22"/>
        </w:rPr>
      </w:pPr>
    </w:p>
    <w:p w:rsidR="00025615"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Tabla Nº 2.1. Antiguas concesionarias y</w:t>
      </w:r>
      <w:r w:rsidR="00025615">
        <w:rPr>
          <w:rFonts w:asciiTheme="minorHAnsi" w:hAnsiTheme="minorHAnsi"/>
          <w:b/>
          <w:sz w:val="22"/>
          <w:szCs w:val="22"/>
        </w:rPr>
        <w:t xml:space="preserve"> </w:t>
      </w:r>
      <w:r w:rsidRPr="001A3152">
        <w:rPr>
          <w:rFonts w:asciiTheme="minorHAnsi" w:hAnsiTheme="minorHAnsi"/>
          <w:b/>
          <w:sz w:val="22"/>
          <w:szCs w:val="22"/>
        </w:rPr>
        <w:t>14 nuevas filiales de Pdvsa creadas en 1975</w:t>
      </w:r>
      <w:r w:rsidR="00025615">
        <w:rPr>
          <w:rFonts w:asciiTheme="minorHAnsi" w:hAnsiTheme="minorHAnsi"/>
          <w:b/>
          <w:sz w:val="22"/>
          <w:szCs w:val="22"/>
        </w:rPr>
        <w:t xml:space="preserve"> </w:t>
      </w:r>
    </w:p>
    <w:p w:rsidR="00BC4C33" w:rsidRPr="001A3152" w:rsidRDefault="00025615" w:rsidP="00BC4C33">
      <w:pPr>
        <w:spacing w:after="100" w:afterAutospacing="1"/>
        <w:contextualSpacing/>
        <w:jc w:val="both"/>
        <w:rPr>
          <w:rFonts w:asciiTheme="minorHAnsi" w:hAnsiTheme="minorHAnsi"/>
          <w:b/>
          <w:sz w:val="22"/>
          <w:szCs w:val="22"/>
        </w:rPr>
      </w:pPr>
      <w:r>
        <w:rPr>
          <w:rFonts w:asciiTheme="minorHAnsi" w:hAnsiTheme="minorHAnsi"/>
          <w:b/>
          <w:sz w:val="22"/>
          <w:szCs w:val="22"/>
        </w:rPr>
        <w:t xml:space="preserve"> </w:t>
      </w:r>
    </w:p>
    <w:tbl>
      <w:tblPr>
        <w:tblStyle w:val="TableGrid"/>
        <w:tblW w:w="0" w:type="auto"/>
        <w:tblLook w:val="04A0" w:firstRow="1" w:lastRow="0" w:firstColumn="1" w:lastColumn="0" w:noHBand="0" w:noVBand="1"/>
      </w:tblPr>
      <w:tblGrid>
        <w:gridCol w:w="5400"/>
        <w:gridCol w:w="3428"/>
      </w:tblGrid>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Empresas concesionarias</w:t>
            </w:r>
          </w:p>
        </w:tc>
        <w:tc>
          <w:tcPr>
            <w:tcW w:w="3483"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Empresas de Pdvsa</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Amoco Venezuela Oil Company</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Amoven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Sinclair Venezuelan Oil Company</w:t>
            </w:r>
          </w:p>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Venezuelan Atlantic Refining Co.</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Bariven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Chevron Oil Company de Venezuela</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Boscanven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Texas petroleum Company</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Caracas Petroleum S.A.</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Coro Petroleum Company</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Texaco Maracaibo Inc.</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Deltaven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Sociedad Anónima Petrolera Las Mercedes</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Guariven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Mobil Oil Company de Venezuela</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Llanoven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Creole Petroleum Corporation</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Lagoven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Compañía Shell de Venezuela N.V.</w:t>
            </w:r>
          </w:p>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Continental Oil Company of Venezuela</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Maraven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Mene Grande Oil Company</w:t>
            </w:r>
          </w:p>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International Petroleum Limited</w:t>
            </w:r>
          </w:p>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Venezuela Gulf Refining Co.</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Meneven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 Sun Oil Company</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Charter Venezuela Petroleum Company</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Palmaven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Phillips Petroleum Company</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Roqueven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Talon Petroleum C.A.</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Taloven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Mito Juan Concesionaria de Hidrocarburos C.A.</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Vistaven</w:t>
            </w:r>
          </w:p>
        </w:tc>
      </w:tr>
      <w:tr w:rsidR="00BC4C33" w:rsidRPr="001A3152" w:rsidTr="00D72C3D">
        <w:tc>
          <w:tcPr>
            <w:tcW w:w="549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348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CVP, S.A.</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Centro de Formación y Adiestramiento de Petróleos de Venezuela y sus Filiales. La Industria Venezolana de los Hidrocarburos. Tomo II. Caracas, Ediciones del CEPET, 1989.</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lastRenderedPageBreak/>
        <w:t>1976-1990. Entre 1976 y 1986, Pdvsa reorganizó, integró y redujo las 14 empresas operadoras creadas en 1975 a tres en 1986: Lagoven</w:t>
      </w:r>
      <w:r w:rsidR="00025615">
        <w:rPr>
          <w:rFonts w:asciiTheme="minorHAnsi" w:hAnsiTheme="minorHAnsi"/>
          <w:sz w:val="22"/>
          <w:szCs w:val="22"/>
        </w:rPr>
        <w:t>, Maraven y Corpoven (tabla Nº 2</w:t>
      </w:r>
      <w:r w:rsidRPr="001A3152">
        <w:rPr>
          <w:rFonts w:asciiTheme="minorHAnsi" w:hAnsiTheme="minorHAnsi"/>
          <w:sz w:val="22"/>
          <w:szCs w:val="22"/>
        </w:rPr>
        <w:t>.2.).</w:t>
      </w:r>
    </w:p>
    <w:p w:rsidR="00BC4C33"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p>
    <w:p w:rsidR="00BC4C33"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Tabla Nº 2.2. Racionalización administrativa de las</w:t>
      </w:r>
      <w:r w:rsidR="00025615">
        <w:rPr>
          <w:rFonts w:asciiTheme="minorHAnsi" w:hAnsiTheme="minorHAnsi"/>
          <w:b/>
          <w:sz w:val="22"/>
          <w:szCs w:val="22"/>
        </w:rPr>
        <w:t xml:space="preserve"> operadoras petroleras de Pdvsa</w:t>
      </w:r>
    </w:p>
    <w:p w:rsidR="00025615" w:rsidRPr="001A3152" w:rsidRDefault="00025615" w:rsidP="00BC4C33">
      <w:pPr>
        <w:spacing w:after="100" w:afterAutospacing="1"/>
        <w:contextualSpacing/>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1683"/>
        <w:gridCol w:w="1427"/>
        <w:gridCol w:w="1432"/>
        <w:gridCol w:w="1428"/>
        <w:gridCol w:w="1429"/>
        <w:gridCol w:w="1429"/>
      </w:tblGrid>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Concesionaria</w:t>
            </w:r>
          </w:p>
        </w:tc>
        <w:tc>
          <w:tcPr>
            <w:tcW w:w="1463"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Operadoras de Pdvsa</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1975</w:t>
            </w:r>
          </w:p>
        </w:tc>
        <w:tc>
          <w:tcPr>
            <w:tcW w:w="1464"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Operadoras de Pdvsa</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1976</w:t>
            </w:r>
          </w:p>
        </w:tc>
        <w:tc>
          <w:tcPr>
            <w:tcW w:w="1464"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Operadoras de Pdvsa</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1977</w:t>
            </w:r>
          </w:p>
        </w:tc>
        <w:tc>
          <w:tcPr>
            <w:tcW w:w="1465"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Operadoras de Pdvsa</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1979</w:t>
            </w:r>
          </w:p>
        </w:tc>
        <w:tc>
          <w:tcPr>
            <w:tcW w:w="1465"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Operadoras de Pdvsa</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1986</w:t>
            </w: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Creole</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Lagoven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Lagoven</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(Amoven)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Lagoven</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Lagoven</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Lagoven</w:t>
            </w: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Amoco</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Amoven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Shell</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Continental</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Maraven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Maraven</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(Roqueven)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Maraven</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Maraven</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Maraven</w:t>
            </w: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Phillips</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Roqueven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Chevron</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Boscanven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CVP</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(Boscanven)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CVP</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(Deltaven)</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Corpoven</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(LLanoven)</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Corpoven</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(Meneven)</w:t>
            </w: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Texas</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Caracas</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Coro</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Texaco</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Deltaven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Mobil</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Llanoven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Llanoven</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(Bariven)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LLanoven</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(Palmaven)</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Sinclair</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lang w:val="en-US"/>
              </w:rPr>
              <w:t>Atlantic</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Bariven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Sun Oil Petroleum Co.</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Palmaven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Palmaven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Mene Grande</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International</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Gulf</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Meneven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Meneven</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(Taloven</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Vistaven</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Guariven)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Meneven</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Meneven</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Talon</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Taloven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Mito Juan</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Vistaven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r>
      <w:tr w:rsidR="00BC4C33" w:rsidRPr="001A3152" w:rsidTr="00D72C3D">
        <w:tc>
          <w:tcPr>
            <w:tcW w:w="173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Las Mercedes</w:t>
            </w:r>
          </w:p>
        </w:tc>
        <w:tc>
          <w:tcPr>
            <w:tcW w:w="146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Guariven</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146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Nota: Los nombres en gris significan las filiales integradas.</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Centro de Formación y Adiestramiento de Petróleos de Venezuela y sus Filiales. La Industria Venezolana de los Hidrocarburos. Tomo II. Caracas, Ediciones del CEPET, 1989.</w:t>
      </w:r>
    </w:p>
    <w:p w:rsidR="00BC4C33" w:rsidRPr="001A3152" w:rsidRDefault="00BC4C33" w:rsidP="00BC4C33">
      <w:pPr>
        <w:spacing w:after="100" w:afterAutospacing="1"/>
        <w:contextualSpacing/>
        <w:jc w:val="both"/>
        <w:rPr>
          <w:rFonts w:asciiTheme="minorHAnsi" w:hAnsiTheme="minorHAnsi"/>
          <w:sz w:val="22"/>
          <w:szCs w:val="22"/>
        </w:rPr>
      </w:pPr>
    </w:p>
    <w:p w:rsidR="00BC4C33"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 estas tres operadoras, Pdvsa añadió 12 filiales más entre 1978 y 1990 encargadas de diversas actividades que no eran de exploración y producción de pet</w:t>
      </w:r>
      <w:r w:rsidR="00025615">
        <w:rPr>
          <w:rFonts w:asciiTheme="minorHAnsi" w:hAnsiTheme="minorHAnsi"/>
          <w:sz w:val="22"/>
          <w:szCs w:val="22"/>
        </w:rPr>
        <w:t>róleo (tabla Nº 2</w:t>
      </w:r>
      <w:r w:rsidRPr="001A3152">
        <w:rPr>
          <w:rFonts w:asciiTheme="minorHAnsi" w:hAnsiTheme="minorHAnsi"/>
          <w:sz w:val="22"/>
          <w:szCs w:val="22"/>
        </w:rPr>
        <w:t>.3.).</w:t>
      </w: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Pr="001A3152" w:rsidRDefault="00025615"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p>
    <w:p w:rsidR="00BC4C33"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xml:space="preserve">Tabla Nº 2.3. </w:t>
      </w:r>
      <w:r w:rsidR="00025615">
        <w:rPr>
          <w:rFonts w:asciiTheme="minorHAnsi" w:hAnsiTheme="minorHAnsi"/>
          <w:b/>
          <w:sz w:val="22"/>
          <w:szCs w:val="22"/>
        </w:rPr>
        <w:t xml:space="preserve">Crece PDVSA con nuevas filiales </w:t>
      </w:r>
    </w:p>
    <w:p w:rsidR="00025615" w:rsidRPr="001A3152" w:rsidRDefault="00025615" w:rsidP="00BC4C33">
      <w:pPr>
        <w:spacing w:after="100" w:afterAutospacing="1"/>
        <w:contextualSpacing/>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3313"/>
        <w:gridCol w:w="1952"/>
        <w:gridCol w:w="3563"/>
      </w:tblGrid>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Nombre la filial</w:t>
            </w:r>
          </w:p>
        </w:tc>
        <w:tc>
          <w:tcPr>
            <w:tcW w:w="1984"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Año de creación</w:t>
            </w:r>
          </w:p>
        </w:tc>
        <w:tc>
          <w:tcPr>
            <w:tcW w:w="3625"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Actividades</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Bariven S.A.</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1978</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Compras internacionales</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Pequiven S.A.</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1978</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Petroquímica</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Palmaven S.A.</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1978</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Comercio de fertilizantes</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Intevep S.A.</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1979</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Investigación y desarrollo</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Interven S.A.</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1982</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Inversiones internacionales</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Carbozulia S.A. </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1986</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Carbón del Guasare, Estado Zulia </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Commerchamp, S.A.</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1987</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Comercialización internacional</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Refinería Isla S.A.</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1987</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Operación refinería Curazao</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Petróleos de Venezuela USA</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1987</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Información de mercado</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Petróleos de Venezuela UK</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1987</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Información de mercado</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Bitor S.A. </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1988</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Orimulsión</w:t>
            </w:r>
          </w:p>
        </w:tc>
      </w:tr>
      <w:tr w:rsidR="00BC4C33" w:rsidRPr="001A3152" w:rsidTr="00D72C3D">
        <w:tc>
          <w:tcPr>
            <w:tcW w:w="33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PDV Marina S.A.</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1990</w:t>
            </w:r>
          </w:p>
        </w:tc>
        <w:tc>
          <w:tcPr>
            <w:tcW w:w="362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Transporte marítimo</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Centro de Formación y Adiestramiento de Petróleos de Venezuela y sus Filiales. La Industria Venezolana de los Hidrocarburos. Tomo II. Caracas, Ediciones del CEPET, 1989.</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Durante este período (1976-1990), Pdvsa actuó como monopolio nacional sectorial y expandió sus actividades en el mercado interno y, sobre todo, en el mercado internacional, a través de la política de internacionalización. En Estados Unidos y a través de Citgo (100% de propiedad de Pdvsa) adquirió refinerías: Lake Charles en Luisiana, Corpus Christi en Texas y Lemont en Illinois; y se asoció (50-50) con Exxon Mobil para operar la refinería Chalmette en Luisiana. En Europa se asoció (50-50) con Nesté Oil para adquirir las refinerías de Nynashamm y Gothenburg en Suecia y Dundee en Escocia, y con Nesté Oil también (en asociación 25-75) para la refinería</w:t>
      </w:r>
      <w:r w:rsidRPr="001A3152">
        <w:rPr>
          <w:rFonts w:asciiTheme="minorHAnsi" w:hAnsiTheme="minorHAnsi"/>
          <w:b/>
          <w:sz w:val="22"/>
          <w:szCs w:val="22"/>
        </w:rPr>
        <w:t xml:space="preserve"> </w:t>
      </w:r>
      <w:r w:rsidRPr="001A3152">
        <w:rPr>
          <w:rFonts w:asciiTheme="minorHAnsi" w:hAnsiTheme="minorHAnsi"/>
          <w:sz w:val="22"/>
          <w:szCs w:val="22"/>
        </w:rPr>
        <w:t>de Eastham en Inglaterra. En El Caribe arrendó la refinería Isla en Curazao. Pdvsa adquirió además sistemas de almacenamiento de crudos y productos, transporte y estaciones de servicio en el extranjero.</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1991-2000. A través de la políticade “Apertura Petrolera”, reingresaron al mercado interno y a las actividades de exploración y producción de petróleo venezolanas muchas de las antiguas ex-concesionarias extranjeras, cuyos activos habían sido estatizados en 1975.</w:t>
      </w:r>
    </w:p>
    <w:p w:rsidR="00BC4C33" w:rsidRPr="001A3152" w:rsidRDefault="00BC4C33" w:rsidP="00BC4C33">
      <w:pPr>
        <w:spacing w:after="100" w:afterAutospacing="1"/>
        <w:contextualSpacing/>
        <w:jc w:val="both"/>
        <w:rPr>
          <w:rFonts w:asciiTheme="minorHAnsi" w:hAnsiTheme="minorHAnsi"/>
          <w:sz w:val="22"/>
          <w:szCs w:val="22"/>
        </w:rPr>
      </w:pPr>
    </w:p>
    <w:p w:rsidR="00BC4C33"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En 3 rondas de licitaciones, entre 1992 y 1997, Pdvsa firmó 32 convenios operativos durante 20 años con inversionistas privados para reactivar 32 campos inactivos o marginales que requerían inversiones para aumentar el volumen de extracción (tabla Nº 2.4.).  </w:t>
      </w: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Default="00025615" w:rsidP="00BC4C33">
      <w:pPr>
        <w:spacing w:after="100" w:afterAutospacing="1"/>
        <w:contextualSpacing/>
        <w:jc w:val="both"/>
        <w:rPr>
          <w:rFonts w:asciiTheme="minorHAnsi" w:hAnsiTheme="minorHAnsi"/>
          <w:sz w:val="22"/>
          <w:szCs w:val="22"/>
        </w:rPr>
      </w:pPr>
    </w:p>
    <w:p w:rsidR="00025615" w:rsidRPr="001A3152" w:rsidRDefault="00025615"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Tabla Nº 2.4. Convenios operativos</w:t>
      </w:r>
    </w:p>
    <w:p w:rsidR="00BC4C33" w:rsidRPr="001A3152" w:rsidRDefault="00BC4C33" w:rsidP="00BC4C33">
      <w:pPr>
        <w:spacing w:after="100" w:afterAutospacing="1"/>
        <w:contextualSpacing/>
        <w:jc w:val="both"/>
        <w:rPr>
          <w:rFonts w:asciiTheme="minorHAnsi" w:hAnsiTheme="minorHAnsi"/>
          <w:b/>
          <w:sz w:val="22"/>
          <w:szCs w:val="22"/>
        </w:rPr>
      </w:pPr>
    </w:p>
    <w:tbl>
      <w:tblPr>
        <w:tblStyle w:val="TableGrid"/>
        <w:tblW w:w="9054" w:type="dxa"/>
        <w:tblLayout w:type="fixed"/>
        <w:tblLook w:val="04A0" w:firstRow="1" w:lastRow="0" w:firstColumn="1" w:lastColumn="0" w:noHBand="0" w:noVBand="1"/>
      </w:tblPr>
      <w:tblGrid>
        <w:gridCol w:w="1980"/>
        <w:gridCol w:w="113"/>
        <w:gridCol w:w="2268"/>
        <w:gridCol w:w="3147"/>
        <w:gridCol w:w="1546"/>
      </w:tblGrid>
      <w:tr w:rsidR="00BC4C33" w:rsidRPr="001A3152" w:rsidTr="00BC4C33">
        <w:tc>
          <w:tcPr>
            <w:tcW w:w="2093" w:type="dxa"/>
            <w:gridSpan w:val="2"/>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Rondas/Año</w:t>
            </w:r>
          </w:p>
        </w:tc>
        <w:tc>
          <w:tcPr>
            <w:tcW w:w="2268"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Campo</w:t>
            </w:r>
          </w:p>
        </w:tc>
        <w:tc>
          <w:tcPr>
            <w:tcW w:w="3147"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Empresa</w:t>
            </w:r>
          </w:p>
        </w:tc>
        <w:tc>
          <w:tcPr>
            <w:tcW w:w="1546"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País</w:t>
            </w:r>
          </w:p>
        </w:tc>
      </w:tr>
      <w:tr w:rsidR="00BC4C33" w:rsidRPr="001A3152" w:rsidTr="00BC4C33">
        <w:tc>
          <w:tcPr>
            <w:tcW w:w="1980" w:type="dxa"/>
            <w:vMerge w:val="restart"/>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 Ronda/1992</w:t>
            </w: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Guárico Oriental</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Teikoku</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Japón</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Monagas Sur</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Harvest</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Pedernales</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Perenco</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Francia</w:t>
            </w:r>
          </w:p>
        </w:tc>
      </w:tr>
      <w:tr w:rsidR="00BC4C33" w:rsidRPr="001A3152" w:rsidTr="00BC4C33">
        <w:tc>
          <w:tcPr>
            <w:tcW w:w="1980" w:type="dxa"/>
            <w:vMerge w:val="restart"/>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II Ronda/1993</w:t>
            </w: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Falcón Este</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Vinccler Oil and Gas</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Falcón Oeste</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West Falcon Samsun H</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Guárico Occidental</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Repsol YPF</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España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Oritupano-Leona</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Petrobras</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Brasil</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Quiriquire</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Repsol YPF</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España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Urdaneta Oeste</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Shell</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GB</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Colón</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Tecpetrol</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Argentina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DZO</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BP</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GB</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Jusepín</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Total</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Francia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Quimare-La Ceiba</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Repsol YPF</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España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Sanvi Güere</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Teikoku</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Japón</w:t>
            </w:r>
          </w:p>
        </w:tc>
      </w:tr>
      <w:tr w:rsidR="00BC4C33" w:rsidRPr="001A3152" w:rsidTr="00BC4C33">
        <w:tc>
          <w:tcPr>
            <w:tcW w:w="1980"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Adjudicación directa/1995</w:t>
            </w: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Boscán</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Chevron</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tc>
      </w:tr>
      <w:tr w:rsidR="00BC4C33" w:rsidRPr="001A3152" w:rsidTr="00BC4C33">
        <w:tc>
          <w:tcPr>
            <w:tcW w:w="1980" w:type="dxa"/>
            <w:vMerge w:val="restart"/>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III Ronda/1997</w:t>
            </w: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Acema</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Petrobras</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Brasil</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Casma-Anaco</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Open</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Ambrosio Sur</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Perenco</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Francia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Boquerón</w:t>
            </w:r>
          </w:p>
        </w:tc>
        <w:tc>
          <w:tcPr>
            <w:tcW w:w="3147" w:type="dxa"/>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Union Texas Petroleum 66,67%</w:t>
            </w:r>
          </w:p>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Preussag Energie 33,33%</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Alemania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Cabimas</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Preussag Energie 90% </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Suelopetrol 10%</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Alemania</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Intercampo Norte</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CNPC</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China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Kaki</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Inemaka</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LL-652</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Chevron</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 Concepción</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Pérez Companc</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Argentina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Mata</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Pérez Companc</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Argentina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Mene Grande</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Repsol YPF</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España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Onado</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CGC</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Argentina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B2X-68/79</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Hocol</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GB</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B2X-70/80</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Hocol</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GB</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Caracoles</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CNCP</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China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Dación</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ENI Dación, B.V.</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Italia</w:t>
            </w:r>
          </w:p>
        </w:tc>
      </w:tr>
      <w:tr w:rsidR="00BC4C33" w:rsidRPr="001A3152" w:rsidTr="00BC4C33">
        <w:tc>
          <w:tcPr>
            <w:tcW w:w="1980" w:type="dxa"/>
            <w:vMerge/>
          </w:tcPr>
          <w:p w:rsidR="00BC4C33" w:rsidRPr="001A3152" w:rsidRDefault="00BC4C33" w:rsidP="00BC4C33">
            <w:pPr>
              <w:spacing w:after="100" w:afterAutospacing="1"/>
              <w:contextualSpacing/>
              <w:jc w:val="both"/>
              <w:rPr>
                <w:rFonts w:asciiTheme="minorHAnsi" w:hAnsiTheme="minorHAnsi"/>
                <w:sz w:val="22"/>
                <w:szCs w:val="22"/>
              </w:rPr>
            </w:pPr>
          </w:p>
        </w:tc>
        <w:tc>
          <w:tcPr>
            <w:tcW w:w="2381" w:type="dxa"/>
            <w:gridSpan w:val="2"/>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Maulpa</w:t>
            </w:r>
          </w:p>
        </w:tc>
        <w:tc>
          <w:tcPr>
            <w:tcW w:w="314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Inemaka</w:t>
            </w:r>
          </w:p>
        </w:tc>
        <w:tc>
          <w:tcPr>
            <w:tcW w:w="154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Pdvsa. Información financiera y operacional al 31 de diciembre de 2006.</w:t>
      </w:r>
    </w:p>
    <w:p w:rsidR="00BC4C33" w:rsidRPr="001A3152" w:rsidRDefault="00BC4C33" w:rsidP="00BC4C33">
      <w:pPr>
        <w:spacing w:after="100" w:afterAutospacing="1"/>
        <w:contextualSpacing/>
        <w:jc w:val="both"/>
        <w:rPr>
          <w:rFonts w:asciiTheme="minorHAnsi" w:hAnsiTheme="minorHAnsi"/>
          <w:sz w:val="22"/>
          <w:szCs w:val="22"/>
        </w:rPr>
      </w:pPr>
    </w:p>
    <w:p w:rsidR="00BC4C33"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lastRenderedPageBreak/>
        <w:t>En 1993 y 1997, Pdvsa celebró además cuatro convenios de asociación (llamadas estratégicas) con empresas extranjeras para extraer crudo extra pesado de la Faja Petrolífera del Orinoco (FPO), mejorarlo (en grados AP</w:t>
      </w:r>
      <w:r w:rsidR="00025615">
        <w:rPr>
          <w:rFonts w:asciiTheme="minorHAnsi" w:hAnsiTheme="minorHAnsi"/>
          <w:sz w:val="22"/>
          <w:szCs w:val="22"/>
        </w:rPr>
        <w:t>I) y comercializarlo (tabla Nº 2</w:t>
      </w:r>
      <w:r w:rsidRPr="001A3152">
        <w:rPr>
          <w:rFonts w:asciiTheme="minorHAnsi" w:hAnsiTheme="minorHAnsi"/>
          <w:sz w:val="22"/>
          <w:szCs w:val="22"/>
        </w:rPr>
        <w:t>.5.).</w:t>
      </w:r>
    </w:p>
    <w:p w:rsidR="00025615" w:rsidRDefault="00025615" w:rsidP="00BC4C33">
      <w:pPr>
        <w:spacing w:after="100" w:afterAutospacing="1"/>
        <w:contextualSpacing/>
        <w:jc w:val="both"/>
        <w:rPr>
          <w:rFonts w:asciiTheme="minorHAnsi" w:hAnsiTheme="minorHAnsi"/>
          <w:sz w:val="22"/>
          <w:szCs w:val="22"/>
        </w:rPr>
      </w:pPr>
    </w:p>
    <w:p w:rsidR="00025615" w:rsidRPr="001A3152" w:rsidRDefault="00025615"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p>
    <w:p w:rsidR="00BC4C33"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Tabla Nº 2.5. Convenios de asociación para m</w:t>
      </w:r>
      <w:r w:rsidR="00025615">
        <w:rPr>
          <w:rFonts w:asciiTheme="minorHAnsi" w:hAnsiTheme="minorHAnsi"/>
          <w:b/>
          <w:sz w:val="22"/>
          <w:szCs w:val="22"/>
        </w:rPr>
        <w:t>ejoramiento de crudos</w:t>
      </w:r>
    </w:p>
    <w:p w:rsidR="00025615" w:rsidRPr="001A3152" w:rsidRDefault="00025615" w:rsidP="00BC4C33">
      <w:pPr>
        <w:spacing w:after="100" w:afterAutospacing="1"/>
        <w:contextualSpacing/>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2064"/>
        <w:gridCol w:w="2084"/>
        <w:gridCol w:w="1814"/>
        <w:gridCol w:w="1530"/>
        <w:gridCol w:w="1336"/>
      </w:tblGrid>
      <w:tr w:rsidR="00BC4C33" w:rsidRPr="001A3152" w:rsidTr="00D72C3D">
        <w:tc>
          <w:tcPr>
            <w:tcW w:w="2093"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Nombre</w:t>
            </w:r>
          </w:p>
        </w:tc>
        <w:tc>
          <w:tcPr>
            <w:tcW w:w="2126"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Socios</w:t>
            </w:r>
          </w:p>
        </w:tc>
        <w:tc>
          <w:tcPr>
            <w:tcW w:w="1843"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País</w:t>
            </w:r>
          </w:p>
        </w:tc>
        <w:tc>
          <w:tcPr>
            <w:tcW w:w="1559"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Socio</w:t>
            </w:r>
          </w:p>
        </w:tc>
        <w:tc>
          <w:tcPr>
            <w:tcW w:w="1357"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Pdvsa</w:t>
            </w:r>
          </w:p>
        </w:tc>
      </w:tr>
      <w:tr w:rsidR="00BC4C33" w:rsidRPr="001A3152" w:rsidTr="00D72C3D">
        <w:tc>
          <w:tcPr>
            <w:tcW w:w="209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Petrozuata, C.A.</w:t>
            </w:r>
          </w:p>
        </w:tc>
        <w:tc>
          <w:tcPr>
            <w:tcW w:w="212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Conoco Phillips</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tc>
        <w:tc>
          <w:tcPr>
            <w:tcW w:w="155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51,1</w:t>
            </w:r>
          </w:p>
        </w:tc>
        <w:tc>
          <w:tcPr>
            <w:tcW w:w="1357"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49,9</w:t>
            </w:r>
          </w:p>
        </w:tc>
      </w:tr>
      <w:tr w:rsidR="00BC4C33" w:rsidRPr="001A3152" w:rsidTr="00D72C3D">
        <w:tc>
          <w:tcPr>
            <w:tcW w:w="209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Petrolera Sincor C.A.</w:t>
            </w:r>
          </w:p>
        </w:tc>
        <w:tc>
          <w:tcPr>
            <w:tcW w:w="212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Total</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Statoil</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Francia</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Noruega</w:t>
            </w:r>
          </w:p>
        </w:tc>
        <w:tc>
          <w:tcPr>
            <w:tcW w:w="155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47</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15</w:t>
            </w:r>
          </w:p>
        </w:tc>
        <w:tc>
          <w:tcPr>
            <w:tcW w:w="1357"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38</w:t>
            </w:r>
          </w:p>
        </w:tc>
      </w:tr>
      <w:tr w:rsidR="00BC4C33" w:rsidRPr="001A3152" w:rsidTr="00D72C3D">
        <w:tc>
          <w:tcPr>
            <w:tcW w:w="209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Petrolera Cerro Negro C.A.</w:t>
            </w:r>
          </w:p>
        </w:tc>
        <w:tc>
          <w:tcPr>
            <w:tcW w:w="212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Exxon Mobil</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BP</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G.B.</w:t>
            </w:r>
          </w:p>
        </w:tc>
        <w:tc>
          <w:tcPr>
            <w:tcW w:w="155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41,67</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16,67</w:t>
            </w:r>
          </w:p>
        </w:tc>
        <w:tc>
          <w:tcPr>
            <w:tcW w:w="1357"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41,6</w:t>
            </w:r>
          </w:p>
        </w:tc>
      </w:tr>
      <w:tr w:rsidR="00BC4C33" w:rsidRPr="001A3152" w:rsidTr="00D72C3D">
        <w:tc>
          <w:tcPr>
            <w:tcW w:w="209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Petrolera Hamaca C.A.</w:t>
            </w:r>
          </w:p>
        </w:tc>
        <w:tc>
          <w:tcPr>
            <w:tcW w:w="212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Arco</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Conoco Phillips</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Texaco</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tc>
        <w:tc>
          <w:tcPr>
            <w:tcW w:w="155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30</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20</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20</w:t>
            </w:r>
          </w:p>
        </w:tc>
        <w:tc>
          <w:tcPr>
            <w:tcW w:w="1357"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30</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Petroguía.</w:t>
      </w: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En 1996, el Congreso de la República dictó un acuerdo mediante el cual autorizó la celebración de 8 convenios de asociación para la exploración a riesgo de nuevas áreas y la producción de hidrocarburos bajo el esquema de ganancias compartidas entre CVP, S.A., filial de Pdvsa, y diversos consorcios y/o empresas, mayoritaria</w:t>
      </w:r>
      <w:r w:rsidR="00025615">
        <w:rPr>
          <w:rFonts w:asciiTheme="minorHAnsi" w:hAnsiTheme="minorHAnsi"/>
          <w:sz w:val="22"/>
          <w:szCs w:val="22"/>
        </w:rPr>
        <w:t>mente extranjeras (tabla Nº 2</w:t>
      </w:r>
      <w:r w:rsidRPr="001A3152">
        <w:rPr>
          <w:rFonts w:asciiTheme="minorHAnsi" w:hAnsiTheme="minorHAnsi"/>
          <w:sz w:val="22"/>
          <w:szCs w:val="22"/>
        </w:rPr>
        <w:t>.6.).</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Tabla Nº 2.6. Convenios de asociación para exploración a riesgo de nuevas ár</w:t>
      </w:r>
      <w:r w:rsidR="00025615">
        <w:rPr>
          <w:rFonts w:asciiTheme="minorHAnsi" w:hAnsiTheme="minorHAnsi"/>
          <w:b/>
          <w:sz w:val="22"/>
          <w:szCs w:val="22"/>
        </w:rPr>
        <w:t>eas y ganancias compartidas</w:t>
      </w:r>
    </w:p>
    <w:p w:rsidR="00BC4C33" w:rsidRPr="001A3152" w:rsidRDefault="00BC4C33" w:rsidP="00BC4C33">
      <w:pPr>
        <w:spacing w:after="100" w:afterAutospacing="1"/>
        <w:contextualSpacing/>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1782"/>
        <w:gridCol w:w="4729"/>
        <w:gridCol w:w="2317"/>
      </w:tblGrid>
      <w:tr w:rsidR="00BC4C33" w:rsidRPr="001A3152" w:rsidTr="00D72C3D">
        <w:tc>
          <w:tcPr>
            <w:tcW w:w="1809"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Filial de Pdvsa</w:t>
            </w:r>
          </w:p>
        </w:tc>
        <w:tc>
          <w:tcPr>
            <w:tcW w:w="4820"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Consorcios y/o empresas</w:t>
            </w:r>
          </w:p>
        </w:tc>
        <w:tc>
          <w:tcPr>
            <w:tcW w:w="2349"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País</w:t>
            </w:r>
          </w:p>
        </w:tc>
      </w:tr>
      <w:tr w:rsidR="00BC4C33" w:rsidRPr="001A3152" w:rsidTr="00D72C3D">
        <w:tc>
          <w:tcPr>
            <w:tcW w:w="180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 CVP, S.A.</w:t>
            </w:r>
          </w:p>
        </w:tc>
        <w:tc>
          <w:tcPr>
            <w:tcW w:w="4820"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Mobil Venezolana de Petróleo, Inc.</w:t>
            </w:r>
          </w:p>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VebaOel A.G.</w:t>
            </w:r>
          </w:p>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Nippon Oil Exploration USA Limited</w:t>
            </w:r>
          </w:p>
        </w:tc>
        <w:tc>
          <w:tcPr>
            <w:tcW w:w="234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Alemania</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Japón</w:t>
            </w:r>
          </w:p>
        </w:tc>
      </w:tr>
      <w:tr w:rsidR="00BC4C33" w:rsidRPr="001A3152" w:rsidTr="00D72C3D">
        <w:tc>
          <w:tcPr>
            <w:tcW w:w="180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 CVP, S.A.</w:t>
            </w:r>
          </w:p>
        </w:tc>
        <w:tc>
          <w:tcPr>
            <w:tcW w:w="4820" w:type="dxa"/>
          </w:tcPr>
          <w:p w:rsidR="00BC4C33" w:rsidRPr="001A3152" w:rsidRDefault="00BC4C33" w:rsidP="00BC4C33">
            <w:pPr>
              <w:spacing w:after="100" w:afterAutospacing="1"/>
              <w:contextualSpacing/>
              <w:jc w:val="both"/>
              <w:rPr>
                <w:rFonts w:asciiTheme="minorHAnsi" w:hAnsiTheme="minorHAnsi"/>
                <w:sz w:val="22"/>
                <w:szCs w:val="22"/>
                <w:lang w:val="fr-CA"/>
              </w:rPr>
            </w:pPr>
            <w:r w:rsidRPr="001A3152">
              <w:rPr>
                <w:rFonts w:asciiTheme="minorHAnsi" w:hAnsiTheme="minorHAnsi"/>
                <w:sz w:val="22"/>
                <w:szCs w:val="22"/>
                <w:lang w:val="fr-CA"/>
              </w:rPr>
              <w:t>E.I. Dupont de Nemours &amp; Co</w:t>
            </w:r>
          </w:p>
        </w:tc>
        <w:tc>
          <w:tcPr>
            <w:tcW w:w="2349" w:type="dxa"/>
          </w:tcPr>
          <w:p w:rsidR="00BC4C33" w:rsidRPr="001A3152" w:rsidRDefault="00BC4C33" w:rsidP="00BC4C33">
            <w:pPr>
              <w:spacing w:after="100" w:afterAutospacing="1"/>
              <w:contextualSpacing/>
              <w:jc w:val="both"/>
              <w:rPr>
                <w:rFonts w:asciiTheme="minorHAnsi" w:hAnsiTheme="minorHAnsi"/>
                <w:sz w:val="22"/>
                <w:szCs w:val="22"/>
                <w:lang w:val="fr-CA"/>
              </w:rPr>
            </w:pPr>
            <w:r w:rsidRPr="001A3152">
              <w:rPr>
                <w:rFonts w:asciiTheme="minorHAnsi" w:hAnsiTheme="minorHAnsi"/>
                <w:sz w:val="22"/>
                <w:szCs w:val="22"/>
                <w:lang w:val="fr-CA"/>
              </w:rPr>
              <w:t>EE.UU.</w:t>
            </w:r>
          </w:p>
        </w:tc>
      </w:tr>
      <w:tr w:rsidR="00BC4C33" w:rsidRPr="001A3152" w:rsidTr="00D72C3D">
        <w:tc>
          <w:tcPr>
            <w:tcW w:w="180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3. CVP, S.A.</w:t>
            </w:r>
          </w:p>
        </w:tc>
        <w:tc>
          <w:tcPr>
            <w:tcW w:w="4820" w:type="dxa"/>
          </w:tcPr>
          <w:p w:rsidR="00BC4C33" w:rsidRPr="001A3152" w:rsidRDefault="00BC4C33" w:rsidP="00BC4C33">
            <w:pPr>
              <w:spacing w:after="100" w:afterAutospacing="1"/>
              <w:contextualSpacing/>
              <w:jc w:val="both"/>
              <w:rPr>
                <w:rFonts w:asciiTheme="minorHAnsi" w:hAnsiTheme="minorHAnsi"/>
                <w:sz w:val="22"/>
                <w:szCs w:val="22"/>
                <w:lang w:val="fr-CA"/>
              </w:rPr>
            </w:pPr>
            <w:r w:rsidRPr="001A3152">
              <w:rPr>
                <w:rFonts w:asciiTheme="minorHAnsi" w:hAnsiTheme="minorHAnsi"/>
                <w:sz w:val="22"/>
                <w:szCs w:val="22"/>
                <w:lang w:val="fr-CA"/>
              </w:rPr>
              <w:t>Elf Aquitaine</w:t>
            </w:r>
          </w:p>
          <w:p w:rsidR="00BC4C33" w:rsidRPr="001A3152" w:rsidRDefault="00BC4C33" w:rsidP="00BC4C33">
            <w:pPr>
              <w:spacing w:after="100" w:afterAutospacing="1"/>
              <w:contextualSpacing/>
              <w:jc w:val="both"/>
              <w:rPr>
                <w:rFonts w:asciiTheme="minorHAnsi" w:hAnsiTheme="minorHAnsi"/>
                <w:sz w:val="22"/>
                <w:szCs w:val="22"/>
                <w:lang w:val="fr-CA"/>
              </w:rPr>
            </w:pPr>
            <w:r w:rsidRPr="001A3152">
              <w:rPr>
                <w:rFonts w:asciiTheme="minorHAnsi" w:hAnsiTheme="minorHAnsi"/>
                <w:sz w:val="22"/>
                <w:szCs w:val="22"/>
                <w:lang w:val="fr-CA"/>
              </w:rPr>
              <w:t>E.I. Dupont de Nemours &amp; Co</w:t>
            </w:r>
          </w:p>
        </w:tc>
        <w:tc>
          <w:tcPr>
            <w:tcW w:w="2349" w:type="dxa"/>
          </w:tcPr>
          <w:p w:rsidR="00BC4C33" w:rsidRPr="001A3152" w:rsidRDefault="00BC4C33" w:rsidP="00BC4C33">
            <w:pPr>
              <w:spacing w:after="100" w:afterAutospacing="1"/>
              <w:contextualSpacing/>
              <w:jc w:val="both"/>
              <w:rPr>
                <w:rFonts w:asciiTheme="minorHAnsi" w:hAnsiTheme="minorHAnsi"/>
                <w:sz w:val="22"/>
                <w:szCs w:val="22"/>
                <w:lang w:val="fr-CA"/>
              </w:rPr>
            </w:pPr>
            <w:r w:rsidRPr="001A3152">
              <w:rPr>
                <w:rFonts w:asciiTheme="minorHAnsi" w:hAnsiTheme="minorHAnsi"/>
                <w:sz w:val="22"/>
                <w:szCs w:val="22"/>
                <w:lang w:val="fr-CA"/>
              </w:rPr>
              <w:t>Francia</w:t>
            </w:r>
          </w:p>
          <w:p w:rsidR="00BC4C33" w:rsidRPr="001A3152" w:rsidRDefault="00BC4C33" w:rsidP="00BC4C33">
            <w:pPr>
              <w:spacing w:after="100" w:afterAutospacing="1"/>
              <w:contextualSpacing/>
              <w:jc w:val="both"/>
              <w:rPr>
                <w:rFonts w:asciiTheme="minorHAnsi" w:hAnsiTheme="minorHAnsi"/>
                <w:sz w:val="22"/>
                <w:szCs w:val="22"/>
                <w:lang w:val="fr-CA"/>
              </w:rPr>
            </w:pPr>
            <w:r w:rsidRPr="001A3152">
              <w:rPr>
                <w:rFonts w:asciiTheme="minorHAnsi" w:hAnsiTheme="minorHAnsi"/>
                <w:sz w:val="22"/>
                <w:szCs w:val="22"/>
                <w:lang w:val="fr-CA"/>
              </w:rPr>
              <w:t>EE.UU.</w:t>
            </w:r>
          </w:p>
        </w:tc>
      </w:tr>
      <w:tr w:rsidR="00BC4C33" w:rsidRPr="001A3152" w:rsidTr="00D72C3D">
        <w:tc>
          <w:tcPr>
            <w:tcW w:w="180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 CVP, S.A.</w:t>
            </w:r>
          </w:p>
        </w:tc>
        <w:tc>
          <w:tcPr>
            <w:tcW w:w="4820"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Enron Oil &amp; Gas Venezuelan Ltd.</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Inelectra C.A.</w:t>
            </w:r>
          </w:p>
        </w:tc>
        <w:tc>
          <w:tcPr>
            <w:tcW w:w="234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r>
      <w:tr w:rsidR="00BC4C33" w:rsidRPr="001A3152" w:rsidTr="00D72C3D">
        <w:tc>
          <w:tcPr>
            <w:tcW w:w="180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5. CVP, S.A.</w:t>
            </w:r>
          </w:p>
        </w:tc>
        <w:tc>
          <w:tcPr>
            <w:tcW w:w="4820" w:type="dxa"/>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BP Systems Construction Ltd.</w:t>
            </w:r>
          </w:p>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Amoco Production Company</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Maxus Energy Corporation</w:t>
            </w:r>
          </w:p>
        </w:tc>
        <w:tc>
          <w:tcPr>
            <w:tcW w:w="234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Reino Unido</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Argentina</w:t>
            </w:r>
          </w:p>
        </w:tc>
      </w:tr>
      <w:tr w:rsidR="00BC4C33" w:rsidRPr="001A3152" w:rsidTr="00D72C3D">
        <w:tc>
          <w:tcPr>
            <w:tcW w:w="180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 CVP, S.A.</w:t>
            </w:r>
          </w:p>
        </w:tc>
        <w:tc>
          <w:tcPr>
            <w:tcW w:w="4820" w:type="dxa"/>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rPr>
              <w:t>Pérez Com</w:t>
            </w:r>
            <w:r w:rsidRPr="001A3152">
              <w:rPr>
                <w:rFonts w:asciiTheme="minorHAnsi" w:hAnsiTheme="minorHAnsi"/>
                <w:sz w:val="22"/>
                <w:szCs w:val="22"/>
                <w:lang w:val="en-US"/>
              </w:rPr>
              <w:t>panc, S.A.</w:t>
            </w:r>
          </w:p>
        </w:tc>
        <w:tc>
          <w:tcPr>
            <w:tcW w:w="234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lang w:val="en-US"/>
              </w:rPr>
              <w:t>Argentina</w:t>
            </w:r>
          </w:p>
        </w:tc>
      </w:tr>
      <w:tr w:rsidR="00BC4C33" w:rsidRPr="001A3152" w:rsidTr="00D72C3D">
        <w:tc>
          <w:tcPr>
            <w:tcW w:w="1809" w:type="dxa"/>
            <w:vAlign w:val="center"/>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7. CVP, S.A.</w:t>
            </w:r>
          </w:p>
        </w:tc>
        <w:tc>
          <w:tcPr>
            <w:tcW w:w="4820" w:type="dxa"/>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Amoco Production Company</w:t>
            </w:r>
          </w:p>
        </w:tc>
        <w:tc>
          <w:tcPr>
            <w:tcW w:w="2349" w:type="dxa"/>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EE.UU.</w:t>
            </w:r>
          </w:p>
        </w:tc>
      </w:tr>
      <w:tr w:rsidR="00BC4C33" w:rsidRPr="001A3152" w:rsidTr="00D72C3D">
        <w:tc>
          <w:tcPr>
            <w:tcW w:w="1809" w:type="dxa"/>
            <w:vAlign w:val="center"/>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8. CVP, S.A.</w:t>
            </w:r>
          </w:p>
        </w:tc>
        <w:tc>
          <w:tcPr>
            <w:tcW w:w="4820" w:type="dxa"/>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The Lousiana Land &amp; Exploration Company</w:t>
            </w:r>
          </w:p>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Norcen Energy Resources Limited</w:t>
            </w:r>
          </w:p>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Benton Oil and Gas Company</w:t>
            </w:r>
          </w:p>
        </w:tc>
        <w:tc>
          <w:tcPr>
            <w:tcW w:w="234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Canadá</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Gaceta Oficial de la República de Venezuela número 35.988 del 26 de junio de 1996</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Entre 1997 y 1998, Pdvsa - transformada ya en corporación -, eliminó sus tres filiales (Lagoven, Maraven y Corpoven) y las fusionó en una sola unidad de negocios combinada: Pdvsa Petróleo y Gas S.A. Creó también otras dos unidades de negocio operadoras: Pdvsa Exploración y Producción S.A y Pdvsa Manufactura y Mercadeo S. A. Creó a Pdvsa Servicios S.A. para encargarse de los servicios de la corporación, y encargó a Deltaven de las ventas al por menor, mercadeo y distribución  en el mercado interno de gasolina al detal y productos marca PDV (véase: </w:t>
      </w:r>
      <w:hyperlink r:id="rId15" w:history="1">
        <w:r w:rsidRPr="001A3152">
          <w:rPr>
            <w:rStyle w:val="Hyperlink"/>
            <w:rFonts w:asciiTheme="minorHAnsi" w:hAnsiTheme="minorHAnsi"/>
            <w:sz w:val="22"/>
            <w:szCs w:val="22"/>
          </w:rPr>
          <w:t>http://www.pdvsa.com/</w:t>
        </w:r>
      </w:hyperlink>
      <w:r w:rsidRPr="001A3152">
        <w:rPr>
          <w:rFonts w:asciiTheme="minorHAnsi" w:hAnsiTheme="minorHAnsi"/>
          <w:sz w:val="22"/>
          <w:szCs w:val="22"/>
        </w:rPr>
        <w:t>y Pdvsa. Información financiera y operacional al 31 de diciembre de 2006).</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Balance de empresas petroleras al final del período 1975 – 2000: dos operadoras, 14 filiales vinculadas al negocio petrolero, 32 convenios operativos y 12 asociaciones.</w:t>
      </w: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025615" w:rsidP="00BC4C33">
      <w:pPr>
        <w:spacing w:after="100" w:afterAutospacing="1"/>
        <w:contextualSpacing/>
        <w:jc w:val="both"/>
        <w:rPr>
          <w:rFonts w:asciiTheme="minorHAnsi" w:hAnsiTheme="minorHAnsi"/>
          <w:b/>
          <w:sz w:val="22"/>
          <w:szCs w:val="22"/>
        </w:rPr>
      </w:pPr>
      <w:r>
        <w:rPr>
          <w:rFonts w:asciiTheme="minorHAnsi" w:hAnsiTheme="minorHAnsi"/>
          <w:b/>
          <w:sz w:val="22"/>
          <w:szCs w:val="22"/>
        </w:rPr>
        <w:t xml:space="preserve">Participación </w:t>
      </w:r>
      <w:r w:rsidR="007C0252">
        <w:rPr>
          <w:rFonts w:asciiTheme="minorHAnsi" w:hAnsiTheme="minorHAnsi"/>
          <w:b/>
          <w:sz w:val="22"/>
          <w:szCs w:val="22"/>
        </w:rPr>
        <w:t xml:space="preserve">de PDVSA </w:t>
      </w:r>
      <w:r>
        <w:rPr>
          <w:rFonts w:asciiTheme="minorHAnsi" w:hAnsiTheme="minorHAnsi"/>
          <w:b/>
          <w:sz w:val="22"/>
          <w:szCs w:val="22"/>
        </w:rPr>
        <w:t>en el desarrollo social</w:t>
      </w: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En mayo de 2001, Pdvsa Petróleo y Gas, S.A. cambió su denominación social a Pdvsa Petróleo, S.A., y, a finales del 2002, toda la actividad relacionada con el gas natural no asociado comenzó a ser manejada por la filial Pdvsa Gas, S.A. (Pdvsa. Información financiera y operacional al 31 de diciembre de 2006). </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En el 2003, Pdvsa reactivó a CVP, S.A., y la encargó de controlar todas las actividades de las empresas mixtas y las licencias de gas costa afuera. Ese mismo año, el Ejecutivo Nacional dispuso que Pdvsa participara en el desarrollo social e integral del país, apoyando las obras o servicios destinados al desarrollo de infraestructura, vialidad, actividades agrícolas, salud, educación, y cualquier otra inversión productiva en Venezuela. Dispuso también que Pdvsa ejecutara los proyectos sociales por medio de fideicomisos, misiones y programas sociales; y que contribuyera con aportes monetarios creados por ley con el Fondo de Desarrollo Nacional (FONDEN). CVP controla el fideicomiso de vivienda, agricultura, desarrollo sustentable, entre otros, los cuales también son creados para financiar proyectos sociales en el país (misiones, núcleos de desarrollo endógeno y proyectos); y el Centro de Arte La Estancia, brazo cultural y social de PDVSA.</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En el 2006, Pdvsa creó Pdvsa América, S.A. para realizar todas las actividades de la industria petrolera en el exterior y particularmente las actividades de los acuerdos de cooperación energética. Según el SELA (Evolución del Acuerdo de Cooperación Energética PETROCARIBE. Caracas, </w:t>
      </w:r>
      <w:r w:rsidRPr="001A3152">
        <w:rPr>
          <w:rFonts w:asciiTheme="minorHAnsi" w:hAnsiTheme="minorHAnsi"/>
          <w:i/>
          <w:sz w:val="22"/>
          <w:szCs w:val="22"/>
        </w:rPr>
        <w:t>Secretaría Permanente del SELA</w:t>
      </w:r>
      <w:r w:rsidRPr="001A3152">
        <w:rPr>
          <w:rFonts w:asciiTheme="minorHAnsi" w:hAnsiTheme="minorHAnsi"/>
          <w:sz w:val="22"/>
          <w:szCs w:val="22"/>
        </w:rPr>
        <w:t>, Junio 2015), Petrocaribe, excluyendo a Cuba, ha suministrado un total de “307 millones de barriles de petróleo hacia 13 países miembros”; una factura petrolera de “casi USD 28.000 millones”; un financiamiento aproximado del “50% de esa factura” y una compensación de “más de USD 3.247 millones” en bienes y servicios entre el 2005 y el 2014. Se estima que la suma de la factura petrolera a Cuba alcanza una cifra similar (30.000 millones de USD dólares).</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Las actividades petroquímicas de Pdvsa en Venezuela, que eran ejecutadas, principalmente, a través de Pequiven, fueron transferidas al Ministerio del Poder Popular para la Energía y Petróleo a partir de enero de 2006 (Pdvsa. Información financiera y operacional al 31 de diciembre de 2006).</w:t>
      </w:r>
    </w:p>
    <w:p w:rsidR="00BC4C33" w:rsidRPr="001A3152" w:rsidRDefault="00BC4C33" w:rsidP="00BC4C33">
      <w:pPr>
        <w:spacing w:after="100" w:afterAutospacing="1"/>
        <w:contextualSpacing/>
        <w:jc w:val="both"/>
        <w:rPr>
          <w:rFonts w:asciiTheme="minorHAnsi" w:hAnsiTheme="minorHAnsi"/>
          <w:sz w:val="22"/>
          <w:szCs w:val="22"/>
        </w:rPr>
      </w:pPr>
    </w:p>
    <w:p w:rsidR="00BC4C33"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En este mismo año y en el 2007, las empresas suscriptoras de los 32 convenios operativos fueron conminadas a migrar a empresas mixtas a partir del 1 de abril (G.O. Nº 38.410 del 31 de marzo de 2006), en una proporción general de 60-40 a favor de CVP. De los 32 campos explotados bajo convenios operativos, 7 regresaron a Pdvsa (Guárico Occidental, Quimare-La Ceiba, B2X-68/79, Maulpa, Sanvi Güere, Jusepín y Dación) porque las empresas operadoras (Repsol YPF, Hocol, </w:t>
      </w:r>
      <w:r w:rsidRPr="001A3152">
        <w:rPr>
          <w:rFonts w:asciiTheme="minorHAnsi" w:hAnsiTheme="minorHAnsi"/>
          <w:sz w:val="22"/>
          <w:szCs w:val="22"/>
        </w:rPr>
        <w:lastRenderedPageBreak/>
        <w:t>Inemaka y Teikoku) los devolvieron o (Total y ENI) se negaron a migrar. Se formaron 21 empresas mixtas par</w:t>
      </w:r>
      <w:r w:rsidR="00025615">
        <w:rPr>
          <w:rFonts w:asciiTheme="minorHAnsi" w:hAnsiTheme="minorHAnsi"/>
          <w:sz w:val="22"/>
          <w:szCs w:val="22"/>
        </w:rPr>
        <w:t>a explotar 25 campos (tabla Nº 2</w:t>
      </w:r>
      <w:r w:rsidRPr="001A3152">
        <w:rPr>
          <w:rFonts w:asciiTheme="minorHAnsi" w:hAnsiTheme="minorHAnsi"/>
          <w:sz w:val="22"/>
          <w:szCs w:val="22"/>
        </w:rPr>
        <w:t>.7.).</w:t>
      </w:r>
    </w:p>
    <w:p w:rsidR="00025615" w:rsidRPr="001A3152" w:rsidRDefault="00025615"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p>
    <w:p w:rsidR="00BC4C33"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Tabla Nº 2.7. Empresas mixtas: Ca</w:t>
      </w:r>
      <w:r w:rsidR="00025615">
        <w:rPr>
          <w:rFonts w:asciiTheme="minorHAnsi" w:hAnsiTheme="minorHAnsi"/>
          <w:b/>
          <w:sz w:val="22"/>
          <w:szCs w:val="22"/>
        </w:rPr>
        <w:t>mpos, socio</w:t>
      </w:r>
      <w:r w:rsidR="00942A0A">
        <w:rPr>
          <w:rFonts w:asciiTheme="minorHAnsi" w:hAnsiTheme="minorHAnsi"/>
          <w:b/>
          <w:sz w:val="22"/>
          <w:szCs w:val="22"/>
        </w:rPr>
        <w:t>s</w:t>
      </w:r>
      <w:r w:rsidR="00025615">
        <w:rPr>
          <w:rFonts w:asciiTheme="minorHAnsi" w:hAnsiTheme="minorHAnsi"/>
          <w:b/>
          <w:sz w:val="22"/>
          <w:szCs w:val="22"/>
        </w:rPr>
        <w:t xml:space="preserve"> y</w:t>
      </w:r>
      <w:r w:rsidR="00942A0A">
        <w:rPr>
          <w:rFonts w:asciiTheme="minorHAnsi" w:hAnsiTheme="minorHAnsi"/>
          <w:b/>
          <w:sz w:val="22"/>
          <w:szCs w:val="22"/>
        </w:rPr>
        <w:t xml:space="preserve"> </w:t>
      </w:r>
      <w:r w:rsidR="007C0252">
        <w:rPr>
          <w:rFonts w:asciiTheme="minorHAnsi" w:hAnsiTheme="minorHAnsi"/>
          <w:b/>
          <w:sz w:val="22"/>
          <w:szCs w:val="22"/>
        </w:rPr>
        <w:t>países</w:t>
      </w:r>
    </w:p>
    <w:p w:rsidR="00025615" w:rsidRPr="001A3152" w:rsidRDefault="00025615" w:rsidP="00BC4C33">
      <w:pPr>
        <w:spacing w:after="100" w:afterAutospacing="1"/>
        <w:contextualSpacing/>
        <w:jc w:val="both"/>
        <w:rPr>
          <w:rFonts w:asciiTheme="minorHAnsi" w:hAnsiTheme="minorHAnsi"/>
          <w:b/>
          <w:sz w:val="22"/>
          <w:szCs w:val="22"/>
        </w:rPr>
      </w:pPr>
    </w:p>
    <w:tbl>
      <w:tblPr>
        <w:tblStyle w:val="TableGrid"/>
        <w:tblW w:w="9039" w:type="dxa"/>
        <w:tblLook w:val="04A0" w:firstRow="1" w:lastRow="0" w:firstColumn="1" w:lastColumn="0" w:noHBand="0" w:noVBand="1"/>
      </w:tblPr>
      <w:tblGrid>
        <w:gridCol w:w="2125"/>
        <w:gridCol w:w="1782"/>
        <w:gridCol w:w="1446"/>
        <w:gridCol w:w="1276"/>
        <w:gridCol w:w="1134"/>
        <w:gridCol w:w="1276"/>
      </w:tblGrid>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Nombre</w:t>
            </w:r>
          </w:p>
        </w:tc>
        <w:tc>
          <w:tcPr>
            <w:tcW w:w="1782"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bCs/>
                <w:sz w:val="22"/>
                <w:szCs w:val="22"/>
              </w:rPr>
              <w:t>Campos</w:t>
            </w:r>
          </w:p>
        </w:tc>
        <w:tc>
          <w:tcPr>
            <w:tcW w:w="1446"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Socio</w:t>
            </w:r>
          </w:p>
        </w:tc>
        <w:tc>
          <w:tcPr>
            <w:tcW w:w="1276"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País</w:t>
            </w:r>
          </w:p>
        </w:tc>
        <w:tc>
          <w:tcPr>
            <w:tcW w:w="1134"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Pdvsa</w:t>
            </w:r>
          </w:p>
        </w:tc>
        <w:tc>
          <w:tcPr>
            <w:tcW w:w="1276"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Socio</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Petroquiriquire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Mene Grande</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Quiriquire</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Repsol</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España</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Petrolera Sino-Venezolana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Caracoles</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Intercampo</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CNPC</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China</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75</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25</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Petrocumarebo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Falcón Este</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Falcón Oeste</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V.O.G.</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Petrowarao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Ambrosio</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Pedernales</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Perenco</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Francia</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Petrocabimas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Cabimas</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Suelopetrol</w:t>
            </w:r>
            <w:r w:rsidRPr="001A3152">
              <w:rPr>
                <w:rFonts w:asciiTheme="minorHAnsi" w:hAnsiTheme="minorHAnsi"/>
                <w:sz w:val="22"/>
                <w:szCs w:val="22"/>
                <w:vertAlign w:val="superscript"/>
              </w:rPr>
              <w:t>1/</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Petrolera Kaki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Kaki</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Inemaka</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Petrocuragua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Casma-Anaco</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Open</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Baripetrol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Colón</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Tecpetrol</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Argentina</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Petronado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Onado</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CGC</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Argentina</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Petroritupano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Oritupano-Leona</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Petrobras</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Brasil</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Petrowayu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 Concepción</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Petrobras</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Brasil</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Petroven-Bras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Acema</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Petrobras</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Brasil</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Petrokariña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Mata</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Petrobras</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Brasil</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Petroboscán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Boscán</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Chevron</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Petroindependiente</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LL-652</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Chevron</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74,80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25,20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Petroguárico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Guárico Oeste</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Teikoku</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Japón</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Petroperijá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DZO</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BP</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GB</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Boquerón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Boquerón</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BP</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GB</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Petroregional</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Urdaneta Oeste</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Shell</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GB</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Petrodelta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Monagas Sur</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Harvest</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r>
      <w:tr w:rsidR="00BC4C33" w:rsidRPr="001A3152" w:rsidTr="00D72C3D">
        <w:tc>
          <w:tcPr>
            <w:tcW w:w="212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Lagopetrol SA</w:t>
            </w:r>
          </w:p>
        </w:tc>
        <w:tc>
          <w:tcPr>
            <w:tcW w:w="17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B2-2X 70/80</w:t>
            </w:r>
          </w:p>
        </w:tc>
        <w:tc>
          <w:tcPr>
            <w:tcW w:w="144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Hocol</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GB</w:t>
            </w:r>
          </w:p>
        </w:tc>
        <w:tc>
          <w:tcPr>
            <w:tcW w:w="1134"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69</w:t>
            </w:r>
          </w:p>
        </w:tc>
        <w:tc>
          <w:tcPr>
            <w:tcW w:w="127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31</w:t>
            </w:r>
          </w:p>
        </w:tc>
      </w:tr>
    </w:tbl>
    <w:p w:rsidR="00BC4C33"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Nota: </w:t>
      </w:r>
      <w:r w:rsidRPr="001A3152">
        <w:rPr>
          <w:rFonts w:asciiTheme="minorHAnsi" w:hAnsiTheme="minorHAnsi"/>
          <w:sz w:val="22"/>
          <w:szCs w:val="22"/>
          <w:vertAlign w:val="superscript"/>
        </w:rPr>
        <w:t>1/</w:t>
      </w:r>
      <w:r w:rsidRPr="001A3152">
        <w:rPr>
          <w:rFonts w:asciiTheme="minorHAnsi" w:hAnsiTheme="minorHAnsi"/>
          <w:sz w:val="22"/>
          <w:szCs w:val="22"/>
        </w:rPr>
        <w:t>En el 2004, Suelopetrol adquirióel 100% de la participación que tuvo Preussag Energie en el consorcio que operaba el campo Cabimas. En abril del 2014, Henrique Rodríguez Guillén, presidente de la Junta Directiva de Suelopetrol, se comprometió con Pdvsa a invertir 625 millones</w:t>
      </w:r>
      <w:r w:rsidRPr="001A3152">
        <w:rPr>
          <w:rFonts w:asciiTheme="minorHAnsi" w:hAnsiTheme="minorHAnsi"/>
          <w:b/>
          <w:sz w:val="22"/>
          <w:szCs w:val="22"/>
        </w:rPr>
        <w:t xml:space="preserve"> </w:t>
      </w:r>
      <w:r w:rsidRPr="001A3152">
        <w:rPr>
          <w:rFonts w:asciiTheme="minorHAnsi" w:hAnsiTheme="minorHAnsi"/>
          <w:sz w:val="22"/>
          <w:szCs w:val="22"/>
        </w:rPr>
        <w:t>de dólares de su dinero para financiar el plan de producción de crudo de Petrocabimas. Pdvsa otorgó a Petrocabimas el derecho a desarrollar además los campos de Tía Juana, Cabimas Sur y Cabimas Este, y amplió  el plazo del contrato a 25 años a partir de la fecha de su firma.</w:t>
      </w:r>
    </w:p>
    <w:p w:rsidR="00025615" w:rsidRPr="001A3152" w:rsidRDefault="00025615" w:rsidP="00BC4C33">
      <w:pPr>
        <w:spacing w:after="100" w:afterAutospacing="1"/>
        <w:contextualSpacing/>
        <w:jc w:val="both"/>
        <w:rPr>
          <w:rFonts w:asciiTheme="minorHAnsi" w:hAnsiTheme="minorHAnsi"/>
          <w:sz w:val="22"/>
          <w:szCs w:val="22"/>
        </w:rPr>
      </w:pPr>
    </w:p>
    <w:p w:rsidR="00BC4C33"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Fuentes: Elaboración de los autores con base en Pdvsa. Información financiera y operacional al 31 de diciembre de </w:t>
      </w:r>
      <w:r w:rsidRPr="001A3152">
        <w:rPr>
          <w:rFonts w:asciiTheme="minorHAnsi" w:hAnsiTheme="minorHAnsi"/>
          <w:bCs/>
          <w:sz w:val="22"/>
          <w:szCs w:val="22"/>
        </w:rPr>
        <w:t>200</w:t>
      </w:r>
      <w:r w:rsidRPr="001A3152">
        <w:rPr>
          <w:rFonts w:asciiTheme="minorHAnsi" w:hAnsiTheme="minorHAnsi"/>
          <w:sz w:val="22"/>
          <w:szCs w:val="22"/>
        </w:rPr>
        <w:t>7; Historia de la empresa (comillas en el original):</w:t>
      </w:r>
      <w:r w:rsidRPr="001A3152">
        <w:rPr>
          <w:rFonts w:asciiTheme="minorHAnsi" w:hAnsiTheme="minorHAnsi"/>
          <w:b/>
          <w:sz w:val="22"/>
          <w:szCs w:val="22"/>
        </w:rPr>
        <w:t xml:space="preserve"> </w:t>
      </w:r>
      <w:hyperlink r:id="rId16" w:history="1">
        <w:r w:rsidRPr="001A3152">
          <w:rPr>
            <w:rStyle w:val="Hyperlink"/>
            <w:rFonts w:asciiTheme="minorHAnsi" w:hAnsiTheme="minorHAnsi"/>
            <w:sz w:val="22"/>
            <w:szCs w:val="22"/>
          </w:rPr>
          <w:t>http://www.suelopetrol.com/about.php?seccion=2</w:t>
        </w:r>
      </w:hyperlink>
      <w:r w:rsidRPr="001A3152">
        <w:rPr>
          <w:rFonts w:asciiTheme="minorHAnsi" w:hAnsiTheme="minorHAnsi"/>
          <w:b/>
          <w:sz w:val="22"/>
          <w:szCs w:val="22"/>
        </w:rPr>
        <w:t xml:space="preserve">; </w:t>
      </w:r>
      <w:r w:rsidRPr="001A3152">
        <w:rPr>
          <w:rFonts w:asciiTheme="minorHAnsi" w:hAnsiTheme="minorHAnsi"/>
          <w:sz w:val="22"/>
          <w:szCs w:val="22"/>
        </w:rPr>
        <w:t xml:space="preserve">Gallegos, Raúl. </w:t>
      </w:r>
      <w:r w:rsidRPr="001A3152">
        <w:rPr>
          <w:rFonts w:asciiTheme="minorHAnsi" w:hAnsiTheme="minorHAnsi"/>
          <w:i/>
          <w:sz w:val="22"/>
          <w:szCs w:val="22"/>
        </w:rPr>
        <w:t>Crude Nation: How Oil Riches Ruined Venezuela. University of Nebraska Press</w:t>
      </w:r>
      <w:r w:rsidRPr="001A3152">
        <w:rPr>
          <w:rFonts w:asciiTheme="minorHAnsi" w:hAnsiTheme="minorHAnsi"/>
          <w:sz w:val="22"/>
          <w:szCs w:val="22"/>
        </w:rPr>
        <w:t>, 2016, y El nuevo poder financiero de Suelopetrol.</w:t>
      </w:r>
      <w:r w:rsidRPr="001A3152">
        <w:rPr>
          <w:rFonts w:asciiTheme="minorHAnsi" w:hAnsiTheme="minorHAnsi"/>
          <w:b/>
          <w:sz w:val="22"/>
          <w:szCs w:val="22"/>
        </w:rPr>
        <w:t xml:space="preserve"> </w:t>
      </w:r>
      <w:hyperlink r:id="rId17" w:history="1">
        <w:r w:rsidRPr="001A3152">
          <w:rPr>
            <w:rStyle w:val="Hyperlink"/>
            <w:rFonts w:asciiTheme="minorHAnsi" w:hAnsiTheme="minorHAnsi"/>
            <w:sz w:val="22"/>
            <w:szCs w:val="22"/>
          </w:rPr>
          <w:t>http://konzapata.com/2014/05/el-nuevo-poder-financiero-de-suelopetrol/</w:t>
        </w:r>
      </w:hyperlink>
      <w:r w:rsidRPr="001A3152">
        <w:rPr>
          <w:rFonts w:asciiTheme="minorHAnsi" w:hAnsiTheme="minorHAnsi"/>
          <w:b/>
          <w:sz w:val="22"/>
          <w:szCs w:val="22"/>
        </w:rPr>
        <w:t xml:space="preserve"> </w:t>
      </w:r>
      <w:r w:rsidRPr="001A3152">
        <w:rPr>
          <w:rFonts w:asciiTheme="minorHAnsi" w:hAnsiTheme="minorHAnsi"/>
          <w:sz w:val="22"/>
          <w:szCs w:val="22"/>
        </w:rPr>
        <w:t>Hay que solicitar permiso escrito a Konzapata para citarlo como fuente.</w:t>
      </w:r>
    </w:p>
    <w:p w:rsidR="00025615" w:rsidRPr="001A3152" w:rsidRDefault="00025615"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El 26 de febrero de 2007, el Ejecutivo Nacional aprobó por decreto (Nº 5.200, con Rango, Valor y Fuerza de Ley) la migración a empresas mixtas de los convenios de asociación de la FPO, de los convenios de exploración a riesgo y ganancias compartidas y de la asociación SINOVENSA: Orifuels SINOVEN S.A.; y la Asamblea Nacional aprobó la creación de las empresas mixtas de la FPO (G.O. Nº 38.801 del 1 de noviembre de 2007). De los cuatro convenios de asociación (estratégicas) se adecuaron tres al nuevo marco legal para constituir tres nuevas empresas </w:t>
      </w:r>
      <w:r w:rsidR="00AA286E">
        <w:rPr>
          <w:rFonts w:asciiTheme="minorHAnsi" w:hAnsiTheme="minorHAnsi"/>
          <w:sz w:val="22"/>
          <w:szCs w:val="22"/>
        </w:rPr>
        <w:t>mixtas con CVP, S.A. (tabla Nº 2</w:t>
      </w:r>
      <w:r w:rsidRPr="001A3152">
        <w:rPr>
          <w:rFonts w:asciiTheme="minorHAnsi" w:hAnsiTheme="minorHAnsi"/>
          <w:sz w:val="22"/>
          <w:szCs w:val="22"/>
        </w:rPr>
        <w:t>.8.), porque dos de los socios (ConocoPhillips, en Petrozuata y ExxonMobil, en Cerro Negro) no aceptaron migrar y recurrieron al arbitraje internacional. Petrozuata pasó a ser entonces 100% propiedad de Pdvsa.</w:t>
      </w:r>
    </w:p>
    <w:p w:rsidR="00BC4C33" w:rsidRPr="001A3152" w:rsidRDefault="00BC4C33" w:rsidP="00BC4C33">
      <w:pPr>
        <w:spacing w:after="100" w:afterAutospacing="1"/>
        <w:contextualSpacing/>
        <w:jc w:val="both"/>
        <w:rPr>
          <w:rFonts w:asciiTheme="minorHAnsi" w:hAnsiTheme="minorHAnsi"/>
          <w:b/>
          <w:sz w:val="22"/>
          <w:szCs w:val="22"/>
        </w:rPr>
      </w:pPr>
    </w:p>
    <w:p w:rsidR="00BC4C33"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Tabla Nº 2</w:t>
      </w:r>
      <w:r w:rsidR="00531235">
        <w:rPr>
          <w:rFonts w:asciiTheme="minorHAnsi" w:hAnsiTheme="minorHAnsi"/>
          <w:b/>
          <w:sz w:val="22"/>
          <w:szCs w:val="22"/>
        </w:rPr>
        <w:t>.8. Empresas mixtas de la Faja Petrolera del Orinoco</w:t>
      </w:r>
    </w:p>
    <w:p w:rsidR="00025615" w:rsidRPr="001A3152" w:rsidRDefault="00025615" w:rsidP="00BC4C33">
      <w:pPr>
        <w:spacing w:after="100" w:afterAutospacing="1"/>
        <w:contextualSpacing/>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1516"/>
        <w:gridCol w:w="2107"/>
        <w:gridCol w:w="3868"/>
        <w:gridCol w:w="1337"/>
      </w:tblGrid>
      <w:tr w:rsidR="00BC4C33" w:rsidRPr="001A3152" w:rsidTr="00D72C3D">
        <w:tc>
          <w:tcPr>
            <w:tcW w:w="1526"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Asociación estratégica</w:t>
            </w:r>
          </w:p>
        </w:tc>
        <w:tc>
          <w:tcPr>
            <w:tcW w:w="2126"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xml:space="preserve">Empresa </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Mixta</w:t>
            </w:r>
          </w:p>
        </w:tc>
        <w:tc>
          <w:tcPr>
            <w:tcW w:w="3969"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Socio</w:t>
            </w:r>
          </w:p>
        </w:tc>
        <w:tc>
          <w:tcPr>
            <w:tcW w:w="1357"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xml:space="preserve">% </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Pdvsa</w:t>
            </w:r>
          </w:p>
        </w:tc>
      </w:tr>
      <w:tr w:rsidR="00BC4C33" w:rsidRPr="001A3152" w:rsidTr="00D72C3D">
        <w:tc>
          <w:tcPr>
            <w:tcW w:w="152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Hamaca</w:t>
            </w:r>
          </w:p>
        </w:tc>
        <w:tc>
          <w:tcPr>
            <w:tcW w:w="212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Petropiar, S.A.</w:t>
            </w:r>
          </w:p>
        </w:tc>
        <w:tc>
          <w:tcPr>
            <w:tcW w:w="39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Chevron Orinoco Holding</w:t>
            </w:r>
          </w:p>
        </w:tc>
        <w:tc>
          <w:tcPr>
            <w:tcW w:w="135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70</w:t>
            </w:r>
          </w:p>
        </w:tc>
      </w:tr>
      <w:tr w:rsidR="00BC4C33" w:rsidRPr="001A3152" w:rsidTr="00D72C3D">
        <w:tc>
          <w:tcPr>
            <w:tcW w:w="152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Sincor</w:t>
            </w:r>
          </w:p>
        </w:tc>
        <w:tc>
          <w:tcPr>
            <w:tcW w:w="212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Petrocedeño, S.A.</w:t>
            </w:r>
          </w:p>
        </w:tc>
        <w:tc>
          <w:tcPr>
            <w:tcW w:w="39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Statoil</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Total Fina</w:t>
            </w:r>
          </w:p>
        </w:tc>
        <w:tc>
          <w:tcPr>
            <w:tcW w:w="135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r>
      <w:tr w:rsidR="00BC4C33" w:rsidRPr="001A3152" w:rsidTr="00D72C3D">
        <w:tc>
          <w:tcPr>
            <w:tcW w:w="152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Cerro Negro</w:t>
            </w:r>
          </w:p>
        </w:tc>
        <w:tc>
          <w:tcPr>
            <w:tcW w:w="2126"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Petromonagas, S.A.</w:t>
            </w:r>
          </w:p>
        </w:tc>
        <w:tc>
          <w:tcPr>
            <w:tcW w:w="3969"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Veba Oil</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Cerro Negro GmbH</w:t>
            </w:r>
          </w:p>
        </w:tc>
        <w:tc>
          <w:tcPr>
            <w:tcW w:w="135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83,33</w:t>
            </w:r>
          </w:p>
        </w:tc>
      </w:tr>
    </w:tbl>
    <w:p w:rsidR="00BC4C33"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La Nueva Pdvsa. Informe de Gestión Anual 2010. Caracas, Pdvsa.</w:t>
      </w:r>
    </w:p>
    <w:p w:rsidR="00025615" w:rsidRPr="001A3152" w:rsidRDefault="00025615"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Los convenios de exploración a riesgo y ganancias compartidas migraron también a empresas m</w:t>
      </w:r>
      <w:r w:rsidR="00AA286E">
        <w:rPr>
          <w:rFonts w:asciiTheme="minorHAnsi" w:hAnsiTheme="minorHAnsi"/>
          <w:sz w:val="22"/>
          <w:szCs w:val="22"/>
        </w:rPr>
        <w:t>ixtas con CVP, S.A. (tabla Nº. 2</w:t>
      </w:r>
      <w:r w:rsidRPr="001A3152">
        <w:rPr>
          <w:rFonts w:asciiTheme="minorHAnsi" w:hAnsiTheme="minorHAnsi"/>
          <w:sz w:val="22"/>
          <w:szCs w:val="22"/>
        </w:rPr>
        <w:t>.9.) que, junto con la empresa mixta Petrowarao, S.A. en el campo Pedernales (antiguo convenio operativo), y la adjudicación directa que hizo el gobierno a la empresa china CNCP del campo Zumano en el oriente del país para constituir Petrozumano (60% Pdvsa-40), conforman actualmente las empresas mixtas Costa Afuera.</w:t>
      </w:r>
    </w:p>
    <w:p w:rsidR="00BC4C33" w:rsidRPr="001A3152" w:rsidRDefault="00BC4C33" w:rsidP="00BC4C33">
      <w:pPr>
        <w:spacing w:after="100" w:afterAutospacing="1"/>
        <w:contextualSpacing/>
        <w:jc w:val="both"/>
        <w:rPr>
          <w:rFonts w:asciiTheme="minorHAnsi" w:hAnsiTheme="minorHAnsi"/>
          <w:b/>
          <w:sz w:val="22"/>
          <w:szCs w:val="22"/>
        </w:rPr>
      </w:pPr>
    </w:p>
    <w:p w:rsidR="00BC4C33"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xml:space="preserve">Tabla Nº. </w:t>
      </w:r>
      <w:r w:rsidR="00D72C3D" w:rsidRPr="001A3152">
        <w:rPr>
          <w:rFonts w:asciiTheme="minorHAnsi" w:hAnsiTheme="minorHAnsi"/>
          <w:b/>
          <w:sz w:val="22"/>
          <w:szCs w:val="22"/>
        </w:rPr>
        <w:t>2</w:t>
      </w:r>
      <w:r w:rsidR="00531235">
        <w:rPr>
          <w:rFonts w:asciiTheme="minorHAnsi" w:hAnsiTheme="minorHAnsi"/>
          <w:b/>
          <w:sz w:val="22"/>
          <w:szCs w:val="22"/>
        </w:rPr>
        <w:t>.9. E</w:t>
      </w:r>
      <w:r w:rsidRPr="001A3152">
        <w:rPr>
          <w:rFonts w:asciiTheme="minorHAnsi" w:hAnsiTheme="minorHAnsi"/>
          <w:b/>
          <w:sz w:val="22"/>
          <w:szCs w:val="22"/>
        </w:rPr>
        <w:t>mpresas mixtas que sustituyeron a los convenios de exploración a riesgo y ganancias compartidas</w:t>
      </w:r>
    </w:p>
    <w:p w:rsidR="00025615" w:rsidRPr="001A3152" w:rsidRDefault="00025615" w:rsidP="00BC4C33">
      <w:pPr>
        <w:spacing w:after="100" w:afterAutospacing="1"/>
        <w:contextualSpacing/>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2199"/>
        <w:gridCol w:w="1959"/>
        <w:gridCol w:w="3332"/>
        <w:gridCol w:w="1338"/>
      </w:tblGrid>
      <w:tr w:rsidR="00BC4C33" w:rsidRPr="001A3152" w:rsidTr="00D72C3D">
        <w:tc>
          <w:tcPr>
            <w:tcW w:w="2235"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Convenio</w:t>
            </w:r>
          </w:p>
        </w:tc>
        <w:tc>
          <w:tcPr>
            <w:tcW w:w="1984"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xml:space="preserve">Empresa </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mixta</w:t>
            </w:r>
          </w:p>
        </w:tc>
        <w:tc>
          <w:tcPr>
            <w:tcW w:w="3402"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Socio</w:t>
            </w:r>
          </w:p>
        </w:tc>
        <w:tc>
          <w:tcPr>
            <w:tcW w:w="1357"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xml:space="preserve">% </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Pdvsa</w:t>
            </w:r>
          </w:p>
        </w:tc>
      </w:tr>
      <w:tr w:rsidR="00BC4C33" w:rsidRPr="001A3152" w:rsidTr="00D72C3D">
        <w:tc>
          <w:tcPr>
            <w:tcW w:w="223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Golfo de Paria Este</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Petrolera Paria S.A.</w:t>
            </w:r>
          </w:p>
        </w:tc>
        <w:tc>
          <w:tcPr>
            <w:tcW w:w="3402"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Sinopec</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Ineparia Inc.</w:t>
            </w:r>
          </w:p>
        </w:tc>
        <w:tc>
          <w:tcPr>
            <w:tcW w:w="135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r>
      <w:tr w:rsidR="00BC4C33" w:rsidRPr="001A3152" w:rsidTr="00D72C3D">
        <w:tc>
          <w:tcPr>
            <w:tcW w:w="223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Golfo de Paria Oeste</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Petrosucre S.A.</w:t>
            </w:r>
          </w:p>
        </w:tc>
        <w:tc>
          <w:tcPr>
            <w:tcW w:w="3402"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ENI</w:t>
            </w:r>
          </w:p>
        </w:tc>
        <w:tc>
          <w:tcPr>
            <w:tcW w:w="135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74</w:t>
            </w:r>
          </w:p>
        </w:tc>
      </w:tr>
      <w:tr w:rsidR="00BC4C33" w:rsidRPr="001A3152" w:rsidTr="00D72C3D">
        <w:tc>
          <w:tcPr>
            <w:tcW w:w="2235"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Golfo de Paria Central</w:t>
            </w:r>
          </w:p>
        </w:tc>
        <w:tc>
          <w:tcPr>
            <w:tcW w:w="198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Petrolera Güiria SA</w:t>
            </w:r>
          </w:p>
        </w:tc>
        <w:tc>
          <w:tcPr>
            <w:tcW w:w="3402"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ENI Venezuela B.V. </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Ineparia Inc.</w:t>
            </w:r>
          </w:p>
        </w:tc>
        <w:tc>
          <w:tcPr>
            <w:tcW w:w="1357"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64,25</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La Nueva Pdvsa. Informe de Gestión Anual 2010. Caracas, Pdvsa.</w:t>
      </w:r>
    </w:p>
    <w:p w:rsidR="00D72C3D" w:rsidRPr="001A3152" w:rsidRDefault="00D72C3D" w:rsidP="00BC4C33">
      <w:pPr>
        <w:spacing w:after="100" w:afterAutospacing="1"/>
        <w:contextualSpacing/>
        <w:jc w:val="both"/>
        <w:rPr>
          <w:rFonts w:asciiTheme="minorHAnsi" w:hAnsiTheme="minorHAnsi"/>
          <w:sz w:val="22"/>
          <w:szCs w:val="22"/>
        </w:rPr>
      </w:pPr>
    </w:p>
    <w:p w:rsidR="00BC4C33"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 las anteriores empresas mixtas para explotar la F</w:t>
      </w:r>
      <w:r w:rsidR="00AA286E">
        <w:rPr>
          <w:rFonts w:asciiTheme="minorHAnsi" w:hAnsiTheme="minorHAnsi"/>
          <w:sz w:val="22"/>
          <w:szCs w:val="22"/>
        </w:rPr>
        <w:t xml:space="preserve">aja </w:t>
      </w:r>
      <w:r w:rsidRPr="001A3152">
        <w:rPr>
          <w:rFonts w:asciiTheme="minorHAnsi" w:hAnsiTheme="minorHAnsi"/>
          <w:sz w:val="22"/>
          <w:szCs w:val="22"/>
        </w:rPr>
        <w:t>P</w:t>
      </w:r>
      <w:r w:rsidR="00AA286E">
        <w:rPr>
          <w:rFonts w:asciiTheme="minorHAnsi" w:hAnsiTheme="minorHAnsi"/>
          <w:sz w:val="22"/>
          <w:szCs w:val="22"/>
        </w:rPr>
        <w:t xml:space="preserve">etrolera del </w:t>
      </w:r>
      <w:r w:rsidRPr="001A3152">
        <w:rPr>
          <w:rFonts w:asciiTheme="minorHAnsi" w:hAnsiTheme="minorHAnsi"/>
          <w:sz w:val="22"/>
          <w:szCs w:val="22"/>
        </w:rPr>
        <w:t>O</w:t>
      </w:r>
      <w:r w:rsidR="00AA286E">
        <w:rPr>
          <w:rFonts w:asciiTheme="minorHAnsi" w:hAnsiTheme="minorHAnsi"/>
          <w:sz w:val="22"/>
          <w:szCs w:val="22"/>
        </w:rPr>
        <w:t>rinoco</w:t>
      </w:r>
      <w:r w:rsidRPr="001A3152">
        <w:rPr>
          <w:rFonts w:asciiTheme="minorHAnsi" w:hAnsiTheme="minorHAnsi"/>
          <w:sz w:val="22"/>
          <w:szCs w:val="22"/>
        </w:rPr>
        <w:t>, el Ministerio de Energía y Petróleo y Pdvsa agregaron siete: una, Veneziran, constituida antes de publicar el decreto de migración y, otra, Petrozumano, antes de c</w:t>
      </w:r>
      <w:r w:rsidR="00025615">
        <w:rPr>
          <w:rFonts w:asciiTheme="minorHAnsi" w:hAnsiTheme="minorHAnsi"/>
          <w:sz w:val="22"/>
          <w:szCs w:val="22"/>
        </w:rPr>
        <w:t>omenzar la migración (tabla Nº 2</w:t>
      </w:r>
      <w:r w:rsidRPr="001A3152">
        <w:rPr>
          <w:rFonts w:asciiTheme="minorHAnsi" w:hAnsiTheme="minorHAnsi"/>
          <w:sz w:val="22"/>
          <w:szCs w:val="22"/>
        </w:rPr>
        <w:t>.10.).</w:t>
      </w:r>
    </w:p>
    <w:p w:rsidR="00531235" w:rsidRDefault="00531235" w:rsidP="00BC4C33">
      <w:pPr>
        <w:spacing w:after="100" w:afterAutospacing="1"/>
        <w:contextualSpacing/>
        <w:jc w:val="both"/>
        <w:rPr>
          <w:rFonts w:asciiTheme="minorHAnsi" w:hAnsiTheme="minorHAnsi"/>
          <w:sz w:val="22"/>
          <w:szCs w:val="22"/>
        </w:rPr>
      </w:pPr>
    </w:p>
    <w:p w:rsidR="00531235" w:rsidRDefault="00531235" w:rsidP="00BC4C33">
      <w:pPr>
        <w:spacing w:after="100" w:afterAutospacing="1"/>
        <w:contextualSpacing/>
        <w:jc w:val="both"/>
        <w:rPr>
          <w:rFonts w:asciiTheme="minorHAnsi" w:hAnsiTheme="minorHAnsi"/>
          <w:sz w:val="22"/>
          <w:szCs w:val="22"/>
        </w:rPr>
      </w:pPr>
    </w:p>
    <w:p w:rsidR="00531235" w:rsidRDefault="00531235" w:rsidP="00BC4C33">
      <w:pPr>
        <w:spacing w:after="100" w:afterAutospacing="1"/>
        <w:contextualSpacing/>
        <w:jc w:val="both"/>
        <w:rPr>
          <w:rFonts w:asciiTheme="minorHAnsi" w:hAnsiTheme="minorHAnsi"/>
          <w:sz w:val="22"/>
          <w:szCs w:val="22"/>
        </w:rPr>
      </w:pPr>
    </w:p>
    <w:p w:rsidR="00D72C3D" w:rsidRPr="001A3152" w:rsidRDefault="00D72C3D" w:rsidP="00BC4C33">
      <w:pPr>
        <w:spacing w:after="100" w:afterAutospacing="1"/>
        <w:contextualSpacing/>
        <w:jc w:val="both"/>
        <w:rPr>
          <w:rFonts w:asciiTheme="minorHAnsi" w:hAnsiTheme="minorHAnsi"/>
          <w:b/>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025615" w:rsidP="00BC4C33">
      <w:pPr>
        <w:spacing w:after="100" w:afterAutospacing="1"/>
        <w:contextualSpacing/>
        <w:jc w:val="both"/>
        <w:rPr>
          <w:rFonts w:asciiTheme="minorHAnsi" w:hAnsiTheme="minorHAnsi"/>
          <w:b/>
          <w:sz w:val="22"/>
          <w:szCs w:val="22"/>
        </w:rPr>
      </w:pPr>
      <w:r>
        <w:rPr>
          <w:rFonts w:asciiTheme="minorHAnsi" w:hAnsiTheme="minorHAnsi"/>
          <w:b/>
          <w:sz w:val="22"/>
          <w:szCs w:val="22"/>
        </w:rPr>
        <w:t>Tabla Nº. 2</w:t>
      </w:r>
      <w:r w:rsidR="00531235">
        <w:rPr>
          <w:rFonts w:asciiTheme="minorHAnsi" w:hAnsiTheme="minorHAnsi"/>
          <w:b/>
          <w:sz w:val="22"/>
          <w:szCs w:val="22"/>
        </w:rPr>
        <w:t>.10. Más e</w:t>
      </w:r>
      <w:r>
        <w:rPr>
          <w:rFonts w:asciiTheme="minorHAnsi" w:hAnsiTheme="minorHAnsi"/>
          <w:b/>
          <w:sz w:val="22"/>
          <w:szCs w:val="22"/>
        </w:rPr>
        <w:t>mpresas mixtas de la F</w:t>
      </w:r>
      <w:r w:rsidR="00531235">
        <w:rPr>
          <w:rFonts w:asciiTheme="minorHAnsi" w:hAnsiTheme="minorHAnsi"/>
          <w:b/>
          <w:sz w:val="22"/>
          <w:szCs w:val="22"/>
        </w:rPr>
        <w:t xml:space="preserve">aja </w:t>
      </w:r>
      <w:r>
        <w:rPr>
          <w:rFonts w:asciiTheme="minorHAnsi" w:hAnsiTheme="minorHAnsi"/>
          <w:b/>
          <w:sz w:val="22"/>
          <w:szCs w:val="22"/>
        </w:rPr>
        <w:t>P</w:t>
      </w:r>
      <w:r w:rsidR="00531235">
        <w:rPr>
          <w:rFonts w:asciiTheme="minorHAnsi" w:hAnsiTheme="minorHAnsi"/>
          <w:b/>
          <w:sz w:val="22"/>
          <w:szCs w:val="22"/>
        </w:rPr>
        <w:t xml:space="preserve">etrolera del </w:t>
      </w:r>
      <w:r>
        <w:rPr>
          <w:rFonts w:asciiTheme="minorHAnsi" w:hAnsiTheme="minorHAnsi"/>
          <w:b/>
          <w:sz w:val="22"/>
          <w:szCs w:val="22"/>
        </w:rPr>
        <w:t>O</w:t>
      </w:r>
      <w:r w:rsidR="00531235">
        <w:rPr>
          <w:rFonts w:asciiTheme="minorHAnsi" w:hAnsiTheme="minorHAnsi"/>
          <w:b/>
          <w:sz w:val="22"/>
          <w:szCs w:val="22"/>
        </w:rPr>
        <w:t>rinoco</w:t>
      </w:r>
    </w:p>
    <w:p w:rsidR="00BC4C33" w:rsidRPr="001A3152" w:rsidRDefault="00BC4C33" w:rsidP="00BC4C33">
      <w:pPr>
        <w:spacing w:after="100" w:afterAutospacing="1"/>
        <w:contextualSpacing/>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1875"/>
        <w:gridCol w:w="1540"/>
        <w:gridCol w:w="1323"/>
        <w:gridCol w:w="1311"/>
        <w:gridCol w:w="1446"/>
        <w:gridCol w:w="1333"/>
      </w:tblGrid>
      <w:tr w:rsidR="00BC4C33" w:rsidRPr="001A3152" w:rsidTr="00D72C3D">
        <w:tc>
          <w:tcPr>
            <w:tcW w:w="1892"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Empresa Mixta</w:t>
            </w:r>
          </w:p>
        </w:tc>
        <w:tc>
          <w:tcPr>
            <w:tcW w:w="1561"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Fecha de</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Constitución</w:t>
            </w:r>
          </w:p>
        </w:tc>
        <w:tc>
          <w:tcPr>
            <w:tcW w:w="1392"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Pdvsa</w:t>
            </w:r>
          </w:p>
        </w:tc>
        <w:tc>
          <w:tcPr>
            <w:tcW w:w="1382"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Socio</w:t>
            </w:r>
          </w:p>
        </w:tc>
        <w:tc>
          <w:tcPr>
            <w:tcW w:w="1466"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Accionista</w:t>
            </w:r>
          </w:p>
        </w:tc>
        <w:tc>
          <w:tcPr>
            <w:tcW w:w="1361"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País</w:t>
            </w:r>
          </w:p>
        </w:tc>
      </w:tr>
      <w:tr w:rsidR="00BC4C33" w:rsidRPr="001A3152" w:rsidTr="00D72C3D">
        <w:tc>
          <w:tcPr>
            <w:tcW w:w="1892" w:type="dxa"/>
            <w:vAlign w:val="center"/>
          </w:tcPr>
          <w:p w:rsidR="00BC4C33" w:rsidRPr="001A3152" w:rsidRDefault="00BC4C33" w:rsidP="00BC4C33">
            <w:pPr>
              <w:spacing w:after="100" w:afterAutospacing="1"/>
              <w:contextualSpacing/>
              <w:jc w:val="both"/>
              <w:rPr>
                <w:rFonts w:asciiTheme="minorHAnsi" w:hAnsiTheme="minorHAnsi"/>
                <w:bCs/>
                <w:sz w:val="22"/>
                <w:szCs w:val="22"/>
                <w:lang w:val="en-US"/>
              </w:rPr>
            </w:pPr>
            <w:r w:rsidRPr="001A3152">
              <w:rPr>
                <w:rFonts w:asciiTheme="minorHAnsi" w:hAnsiTheme="minorHAnsi"/>
                <w:bCs/>
                <w:sz w:val="22"/>
                <w:szCs w:val="22"/>
                <w:lang w:val="en-US"/>
              </w:rPr>
              <w:t>Veneziran Oil Company, S.A.</w:t>
            </w:r>
          </w:p>
        </w:tc>
        <w:tc>
          <w:tcPr>
            <w:tcW w:w="1561" w:type="dxa"/>
            <w:vAlign w:val="center"/>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rPr>
              <w:t>05/02/2007</w:t>
            </w:r>
          </w:p>
        </w:tc>
        <w:tc>
          <w:tcPr>
            <w:tcW w:w="13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61</w:t>
            </w:r>
          </w:p>
        </w:tc>
        <w:tc>
          <w:tcPr>
            <w:tcW w:w="13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39</w:t>
            </w:r>
          </w:p>
        </w:tc>
        <w:tc>
          <w:tcPr>
            <w:tcW w:w="146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SADRA</w:t>
            </w:r>
          </w:p>
        </w:tc>
        <w:tc>
          <w:tcPr>
            <w:tcW w:w="13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Irán</w:t>
            </w:r>
          </w:p>
        </w:tc>
      </w:tr>
      <w:tr w:rsidR="00BC4C33" w:rsidRPr="001A3152" w:rsidTr="00D72C3D">
        <w:tc>
          <w:tcPr>
            <w:tcW w:w="1892" w:type="dxa"/>
            <w:vAlign w:val="center"/>
          </w:tcPr>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bCs/>
                <w:sz w:val="22"/>
                <w:szCs w:val="22"/>
              </w:rPr>
              <w:t>Petrozumano, S.A.</w:t>
            </w:r>
          </w:p>
        </w:tc>
        <w:tc>
          <w:tcPr>
            <w:tcW w:w="15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06/11/2007</w:t>
            </w:r>
          </w:p>
        </w:tc>
        <w:tc>
          <w:tcPr>
            <w:tcW w:w="13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3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c>
          <w:tcPr>
            <w:tcW w:w="146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CNPC</w:t>
            </w:r>
          </w:p>
        </w:tc>
        <w:tc>
          <w:tcPr>
            <w:tcW w:w="13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China</w:t>
            </w:r>
          </w:p>
        </w:tc>
      </w:tr>
      <w:tr w:rsidR="00BC4C33" w:rsidRPr="001A3152" w:rsidTr="00D72C3D">
        <w:tc>
          <w:tcPr>
            <w:tcW w:w="18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bCs/>
                <w:sz w:val="22"/>
                <w:szCs w:val="22"/>
              </w:rPr>
              <w:t>Petrocedeño, S.A.</w:t>
            </w:r>
          </w:p>
        </w:tc>
        <w:tc>
          <w:tcPr>
            <w:tcW w:w="15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11/12/2007</w:t>
            </w:r>
          </w:p>
        </w:tc>
        <w:tc>
          <w:tcPr>
            <w:tcW w:w="13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3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30,32</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9,677</w:t>
            </w:r>
          </w:p>
        </w:tc>
        <w:tc>
          <w:tcPr>
            <w:tcW w:w="146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Total</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StatoilHidro</w:t>
            </w:r>
          </w:p>
        </w:tc>
        <w:tc>
          <w:tcPr>
            <w:tcW w:w="13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Francia</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Noruega</w:t>
            </w:r>
          </w:p>
        </w:tc>
      </w:tr>
      <w:tr w:rsidR="00BC4C33" w:rsidRPr="001A3152" w:rsidTr="00D72C3D">
        <w:tc>
          <w:tcPr>
            <w:tcW w:w="1892" w:type="dxa"/>
            <w:vAlign w:val="center"/>
          </w:tcPr>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bCs/>
                <w:sz w:val="22"/>
                <w:szCs w:val="22"/>
              </w:rPr>
              <w:t>Petrolera Bielovenezolana, S.A.</w:t>
            </w:r>
          </w:p>
        </w:tc>
        <w:tc>
          <w:tcPr>
            <w:tcW w:w="15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14/12/2007</w:t>
            </w:r>
          </w:p>
        </w:tc>
        <w:tc>
          <w:tcPr>
            <w:tcW w:w="13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3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c>
          <w:tcPr>
            <w:tcW w:w="146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Belorusneft</w:t>
            </w:r>
          </w:p>
        </w:tc>
        <w:tc>
          <w:tcPr>
            <w:tcW w:w="13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Bielorusia</w:t>
            </w:r>
          </w:p>
        </w:tc>
      </w:tr>
      <w:tr w:rsidR="00BC4C33" w:rsidRPr="001A3152" w:rsidTr="00D72C3D">
        <w:tc>
          <w:tcPr>
            <w:tcW w:w="1892" w:type="dxa"/>
            <w:vAlign w:val="center"/>
          </w:tcPr>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bCs/>
                <w:sz w:val="22"/>
                <w:szCs w:val="22"/>
              </w:rPr>
              <w:t>Petrolera Sinovensa, S.A.</w:t>
            </w:r>
          </w:p>
        </w:tc>
        <w:tc>
          <w:tcPr>
            <w:tcW w:w="15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01/02/2008</w:t>
            </w:r>
          </w:p>
        </w:tc>
        <w:tc>
          <w:tcPr>
            <w:tcW w:w="13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64,25</w:t>
            </w:r>
          </w:p>
        </w:tc>
        <w:tc>
          <w:tcPr>
            <w:tcW w:w="13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35,75</w:t>
            </w:r>
          </w:p>
        </w:tc>
        <w:tc>
          <w:tcPr>
            <w:tcW w:w="146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CNPC</w:t>
            </w:r>
          </w:p>
        </w:tc>
        <w:tc>
          <w:tcPr>
            <w:tcW w:w="13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China</w:t>
            </w:r>
          </w:p>
        </w:tc>
      </w:tr>
      <w:tr w:rsidR="00BC4C33" w:rsidRPr="001A3152" w:rsidTr="00D72C3D">
        <w:tc>
          <w:tcPr>
            <w:tcW w:w="1892" w:type="dxa"/>
            <w:vAlign w:val="center"/>
          </w:tcPr>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bCs/>
                <w:sz w:val="22"/>
                <w:szCs w:val="22"/>
              </w:rPr>
              <w:t>Petromonagas, S.A.</w:t>
            </w:r>
          </w:p>
        </w:tc>
        <w:tc>
          <w:tcPr>
            <w:tcW w:w="15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21/02/2008</w:t>
            </w:r>
          </w:p>
        </w:tc>
        <w:tc>
          <w:tcPr>
            <w:tcW w:w="13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83,33</w:t>
            </w:r>
          </w:p>
        </w:tc>
        <w:tc>
          <w:tcPr>
            <w:tcW w:w="13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16,67</w:t>
            </w:r>
          </w:p>
        </w:tc>
        <w:tc>
          <w:tcPr>
            <w:tcW w:w="146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BP</w:t>
            </w:r>
          </w:p>
        </w:tc>
        <w:tc>
          <w:tcPr>
            <w:tcW w:w="13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Alemania</w:t>
            </w:r>
          </w:p>
        </w:tc>
      </w:tr>
      <w:tr w:rsidR="00BC4C33" w:rsidRPr="001A3152" w:rsidTr="00D72C3D">
        <w:tc>
          <w:tcPr>
            <w:tcW w:w="1892" w:type="dxa"/>
            <w:vAlign w:val="center"/>
          </w:tcPr>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bCs/>
                <w:sz w:val="22"/>
                <w:szCs w:val="22"/>
              </w:rPr>
              <w:t>Petrolera Indovenezolana, S.A.</w:t>
            </w:r>
          </w:p>
        </w:tc>
        <w:tc>
          <w:tcPr>
            <w:tcW w:w="15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08/04/2008</w:t>
            </w:r>
          </w:p>
        </w:tc>
        <w:tc>
          <w:tcPr>
            <w:tcW w:w="13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138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c>
          <w:tcPr>
            <w:tcW w:w="1466"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ONGC</w:t>
            </w:r>
          </w:p>
        </w:tc>
        <w:tc>
          <w:tcPr>
            <w:tcW w:w="136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India</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La Nueva Pdvsa. Informe de Gestión Anual 2010. Caracas, Pdvsa.</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En el 2007 también, Pdvsa dejó de producir Orimulsión, dejó de manufacturarla en la asociación Sinovensa y eliminó a BITOR, pero creó cuatro nuevas filiales (tabla Nº 1.11.), que deben contribuir con el desarrollo del entorno comunitario:</w:t>
      </w: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531235" w:rsidP="00BC4C33">
      <w:pPr>
        <w:spacing w:after="100" w:afterAutospacing="1"/>
        <w:contextualSpacing/>
        <w:jc w:val="both"/>
        <w:rPr>
          <w:rFonts w:asciiTheme="minorHAnsi" w:hAnsiTheme="minorHAnsi"/>
          <w:b/>
          <w:sz w:val="22"/>
          <w:szCs w:val="22"/>
        </w:rPr>
      </w:pPr>
      <w:r>
        <w:rPr>
          <w:rFonts w:asciiTheme="minorHAnsi" w:hAnsiTheme="minorHAnsi"/>
          <w:b/>
          <w:sz w:val="22"/>
          <w:szCs w:val="22"/>
        </w:rPr>
        <w:t>Tabla Nº 2</w:t>
      </w:r>
      <w:r w:rsidR="00BC4C33" w:rsidRPr="001A3152">
        <w:rPr>
          <w:rFonts w:asciiTheme="minorHAnsi" w:hAnsiTheme="minorHAnsi"/>
          <w:b/>
          <w:sz w:val="22"/>
          <w:szCs w:val="22"/>
        </w:rPr>
        <w:t>.11. Nuevas filiales de Pdvsa creadas en el 2007</w:t>
      </w:r>
    </w:p>
    <w:p w:rsidR="00D72C3D" w:rsidRPr="001A3152" w:rsidRDefault="00D72C3D" w:rsidP="00BC4C33">
      <w:pPr>
        <w:spacing w:after="100" w:afterAutospacing="1"/>
        <w:contextualSpacing/>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3174"/>
        <w:gridCol w:w="5654"/>
      </w:tblGrid>
      <w:tr w:rsidR="00BC4C33" w:rsidRPr="001A3152" w:rsidTr="00D72C3D">
        <w:tc>
          <w:tcPr>
            <w:tcW w:w="3227"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Filial</w:t>
            </w:r>
          </w:p>
        </w:tc>
        <w:tc>
          <w:tcPr>
            <w:tcW w:w="5751"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Actividades</w:t>
            </w:r>
          </w:p>
        </w:tc>
      </w:tr>
      <w:tr w:rsidR="00BC4C33" w:rsidRPr="001A3152" w:rsidTr="00D72C3D">
        <w:tc>
          <w:tcPr>
            <w:tcW w:w="3227"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Pdvsa Agrícola, S.A.</w:t>
            </w:r>
          </w:p>
        </w:tc>
        <w:tc>
          <w:tcPr>
            <w:tcW w:w="575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Producción de materia prima de origen agrícola para el procesamiento industrial agroalimentario y agro-energético</w:t>
            </w:r>
          </w:p>
        </w:tc>
      </w:tr>
      <w:tr w:rsidR="00BC4C33" w:rsidRPr="001A3152" w:rsidTr="00D72C3D">
        <w:tc>
          <w:tcPr>
            <w:tcW w:w="3227"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Pdvsa Industrial S.A.</w:t>
            </w:r>
          </w:p>
          <w:p w:rsidR="00BC4C33" w:rsidRPr="001A3152" w:rsidRDefault="00BC4C33" w:rsidP="00BC4C33">
            <w:pPr>
              <w:spacing w:after="100" w:afterAutospacing="1"/>
              <w:contextualSpacing/>
              <w:jc w:val="both"/>
              <w:rPr>
                <w:rFonts w:asciiTheme="minorHAnsi" w:hAnsiTheme="minorHAnsi"/>
                <w:sz w:val="22"/>
                <w:szCs w:val="22"/>
              </w:rPr>
            </w:pPr>
          </w:p>
        </w:tc>
        <w:tc>
          <w:tcPr>
            <w:tcW w:w="575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Producción de servicios y acompañamiento técnico en la construcción de equipos, bienes y materiales industriales requeridos para el desarrollo de la industria petrolera</w:t>
            </w:r>
          </w:p>
        </w:tc>
      </w:tr>
      <w:tr w:rsidR="00BC4C33" w:rsidRPr="001A3152" w:rsidTr="00D72C3D">
        <w:tc>
          <w:tcPr>
            <w:tcW w:w="3227"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Pdvsa Servicios, S.A.</w:t>
            </w:r>
          </w:p>
        </w:tc>
        <w:tc>
          <w:tcPr>
            <w:tcW w:w="575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Servicios de construcción y mantenimiento de pozos petroleros</w:t>
            </w:r>
          </w:p>
        </w:tc>
      </w:tr>
      <w:tr w:rsidR="00BC4C33" w:rsidRPr="001A3152" w:rsidTr="00D72C3D">
        <w:tc>
          <w:tcPr>
            <w:tcW w:w="3227"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Pdvsa Gas Comunal</w:t>
            </w:r>
          </w:p>
        </w:tc>
        <w:tc>
          <w:tcPr>
            <w:tcW w:w="575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Distribución de gas a las comunidades</w:t>
            </w:r>
          </w:p>
        </w:tc>
      </w:tr>
    </w:tbl>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sz w:val="22"/>
          <w:szCs w:val="22"/>
        </w:rPr>
        <w:t xml:space="preserve">Fuente: Elaboración de los autores con base en Pdvsa. </w:t>
      </w:r>
      <w:r w:rsidRPr="001A3152">
        <w:rPr>
          <w:rFonts w:asciiTheme="minorHAnsi" w:hAnsiTheme="minorHAnsi"/>
          <w:bCs/>
          <w:sz w:val="22"/>
          <w:szCs w:val="22"/>
        </w:rPr>
        <w:t>Información Financiera y Operacional Al 31 de diciembre de 2007. Caracas.</w:t>
      </w:r>
    </w:p>
    <w:p w:rsidR="00BC4C33" w:rsidRPr="001A3152" w:rsidRDefault="00BC4C33" w:rsidP="00BC4C33">
      <w:pPr>
        <w:spacing w:after="100" w:afterAutospacing="1"/>
        <w:contextualSpacing/>
        <w:jc w:val="both"/>
        <w:rPr>
          <w:rFonts w:asciiTheme="minorHAnsi" w:hAnsiTheme="minorHAnsi"/>
          <w:sz w:val="22"/>
          <w:szCs w:val="22"/>
        </w:rPr>
      </w:pPr>
    </w:p>
    <w:p w:rsidR="00BC4C33"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En el 2010, se constituyeron siete nuevas empresas mixtas </w:t>
      </w:r>
      <w:r w:rsidR="00531235">
        <w:rPr>
          <w:rFonts w:asciiTheme="minorHAnsi" w:hAnsiTheme="minorHAnsi"/>
          <w:sz w:val="22"/>
          <w:szCs w:val="22"/>
        </w:rPr>
        <w:t>para explotar la FPO (tabla Nº 2</w:t>
      </w:r>
      <w:r w:rsidRPr="001A3152">
        <w:rPr>
          <w:rFonts w:asciiTheme="minorHAnsi" w:hAnsiTheme="minorHAnsi"/>
          <w:sz w:val="22"/>
          <w:szCs w:val="22"/>
        </w:rPr>
        <w:t>.12.).</w:t>
      </w:r>
    </w:p>
    <w:p w:rsidR="00531235" w:rsidRDefault="00531235" w:rsidP="00BC4C33">
      <w:pPr>
        <w:spacing w:after="100" w:afterAutospacing="1"/>
        <w:contextualSpacing/>
        <w:jc w:val="both"/>
        <w:rPr>
          <w:rFonts w:asciiTheme="minorHAnsi" w:hAnsiTheme="minorHAnsi"/>
          <w:sz w:val="22"/>
          <w:szCs w:val="22"/>
        </w:rPr>
      </w:pPr>
    </w:p>
    <w:p w:rsidR="00531235" w:rsidRDefault="00531235" w:rsidP="00BC4C33">
      <w:pPr>
        <w:spacing w:after="100" w:afterAutospacing="1"/>
        <w:contextualSpacing/>
        <w:jc w:val="both"/>
        <w:rPr>
          <w:rFonts w:asciiTheme="minorHAnsi" w:hAnsiTheme="minorHAnsi"/>
          <w:sz w:val="22"/>
          <w:szCs w:val="22"/>
        </w:rPr>
      </w:pPr>
    </w:p>
    <w:p w:rsidR="00531235" w:rsidRDefault="00531235" w:rsidP="00BC4C33">
      <w:pPr>
        <w:spacing w:after="100" w:afterAutospacing="1"/>
        <w:contextualSpacing/>
        <w:jc w:val="both"/>
        <w:rPr>
          <w:rFonts w:asciiTheme="minorHAnsi" w:hAnsiTheme="minorHAnsi"/>
          <w:sz w:val="22"/>
          <w:szCs w:val="22"/>
        </w:rPr>
      </w:pPr>
    </w:p>
    <w:p w:rsidR="00531235" w:rsidRPr="001A3152" w:rsidRDefault="00531235" w:rsidP="00BC4C33">
      <w:pPr>
        <w:spacing w:after="100" w:afterAutospacing="1"/>
        <w:contextualSpacing/>
        <w:jc w:val="both"/>
        <w:rPr>
          <w:rFonts w:asciiTheme="minorHAnsi" w:hAnsiTheme="minorHAnsi"/>
          <w:sz w:val="22"/>
          <w:szCs w:val="22"/>
        </w:rPr>
      </w:pPr>
    </w:p>
    <w:p w:rsidR="00D72C3D" w:rsidRPr="001A3152" w:rsidRDefault="00D72C3D"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xml:space="preserve">Tabla </w:t>
      </w:r>
      <w:r w:rsidR="00531235">
        <w:rPr>
          <w:rFonts w:asciiTheme="minorHAnsi" w:hAnsiTheme="minorHAnsi"/>
          <w:b/>
          <w:sz w:val="22"/>
          <w:szCs w:val="22"/>
        </w:rPr>
        <w:t>Nº 2</w:t>
      </w:r>
      <w:r w:rsidRPr="001A3152">
        <w:rPr>
          <w:rFonts w:asciiTheme="minorHAnsi" w:hAnsiTheme="minorHAnsi"/>
          <w:b/>
          <w:sz w:val="22"/>
          <w:szCs w:val="22"/>
        </w:rPr>
        <w:t>.12. Nuevas empresas mixtas en la F</w:t>
      </w:r>
      <w:r w:rsidR="00531235">
        <w:rPr>
          <w:rFonts w:asciiTheme="minorHAnsi" w:hAnsiTheme="minorHAnsi"/>
          <w:b/>
          <w:sz w:val="22"/>
          <w:szCs w:val="22"/>
        </w:rPr>
        <w:t xml:space="preserve">aja </w:t>
      </w:r>
      <w:r w:rsidRPr="001A3152">
        <w:rPr>
          <w:rFonts w:asciiTheme="minorHAnsi" w:hAnsiTheme="minorHAnsi"/>
          <w:b/>
          <w:sz w:val="22"/>
          <w:szCs w:val="22"/>
        </w:rPr>
        <w:t>P</w:t>
      </w:r>
      <w:r w:rsidR="00531235">
        <w:rPr>
          <w:rFonts w:asciiTheme="minorHAnsi" w:hAnsiTheme="minorHAnsi"/>
          <w:b/>
          <w:sz w:val="22"/>
          <w:szCs w:val="22"/>
        </w:rPr>
        <w:t>etrolera del Orinoco a partir d</w:t>
      </w:r>
      <w:r w:rsidRPr="001A3152">
        <w:rPr>
          <w:rFonts w:asciiTheme="minorHAnsi" w:hAnsiTheme="minorHAnsi"/>
          <w:b/>
          <w:sz w:val="22"/>
          <w:szCs w:val="22"/>
        </w:rPr>
        <w:t>el 2010</w:t>
      </w:r>
    </w:p>
    <w:p w:rsidR="00D72C3D" w:rsidRPr="001A3152" w:rsidRDefault="00D72C3D" w:rsidP="00BC4C33">
      <w:pPr>
        <w:spacing w:after="100" w:afterAutospacing="1"/>
        <w:contextualSpacing/>
        <w:jc w:val="both"/>
        <w:rPr>
          <w:rFonts w:asciiTheme="minorHAnsi" w:hAnsiTheme="minorHAnsi"/>
          <w:b/>
          <w:sz w:val="22"/>
          <w:szCs w:val="22"/>
        </w:rPr>
      </w:pPr>
    </w:p>
    <w:tbl>
      <w:tblPr>
        <w:tblStyle w:val="TableGrid"/>
        <w:tblW w:w="0" w:type="auto"/>
        <w:tblLayout w:type="fixed"/>
        <w:tblLook w:val="04A0" w:firstRow="1" w:lastRow="0" w:firstColumn="1" w:lastColumn="0" w:noHBand="0" w:noVBand="1"/>
      </w:tblPr>
      <w:tblGrid>
        <w:gridCol w:w="2235"/>
        <w:gridCol w:w="1701"/>
        <w:gridCol w:w="992"/>
        <w:gridCol w:w="992"/>
        <w:gridCol w:w="1843"/>
        <w:gridCol w:w="1291"/>
      </w:tblGrid>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Empresa Mixta</w:t>
            </w:r>
          </w:p>
        </w:tc>
        <w:tc>
          <w:tcPr>
            <w:tcW w:w="1701"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Fecha de</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Constitución</w:t>
            </w:r>
          </w:p>
        </w:tc>
        <w:tc>
          <w:tcPr>
            <w:tcW w:w="992"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Pdvsa</w:t>
            </w:r>
          </w:p>
        </w:tc>
        <w:tc>
          <w:tcPr>
            <w:tcW w:w="992"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Socio</w:t>
            </w:r>
          </w:p>
        </w:tc>
        <w:tc>
          <w:tcPr>
            <w:tcW w:w="1843"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Accionista</w:t>
            </w:r>
          </w:p>
        </w:tc>
        <w:tc>
          <w:tcPr>
            <w:tcW w:w="1291"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País</w:t>
            </w:r>
          </w:p>
        </w:tc>
      </w:tr>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bCs/>
                <w:sz w:val="22"/>
                <w:szCs w:val="22"/>
                <w:lang w:val="en-US"/>
              </w:rPr>
            </w:pPr>
            <w:r w:rsidRPr="001A3152">
              <w:rPr>
                <w:rFonts w:asciiTheme="minorHAnsi" w:hAnsiTheme="minorHAnsi"/>
                <w:bCs/>
                <w:sz w:val="22"/>
                <w:szCs w:val="22"/>
                <w:lang w:val="en-US"/>
              </w:rPr>
              <w:t>Petromiranda S.A.</w:t>
            </w:r>
          </w:p>
        </w:tc>
        <w:tc>
          <w:tcPr>
            <w:tcW w:w="1701" w:type="dxa"/>
            <w:vAlign w:val="center"/>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rPr>
              <w:t>20/04/2010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Consorcio Nacional Petrolero</w:t>
            </w:r>
          </w:p>
        </w:tc>
        <w:tc>
          <w:tcPr>
            <w:tcW w:w="129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Rusia</w:t>
            </w:r>
          </w:p>
        </w:tc>
      </w:tr>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bCs/>
                <w:sz w:val="22"/>
                <w:szCs w:val="22"/>
              </w:rPr>
              <w:t>Petrocarabobo, S.A.</w:t>
            </w:r>
          </w:p>
        </w:tc>
        <w:tc>
          <w:tcPr>
            <w:tcW w:w="170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25/06/2010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11</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11</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11</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7</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Repsol</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PC Venezuela</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Petrocarabobo Ganga</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Indoil Netherlands B.V.</w:t>
            </w:r>
          </w:p>
        </w:tc>
        <w:tc>
          <w:tcPr>
            <w:tcW w:w="129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España</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Malasia</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India</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India</w:t>
            </w:r>
          </w:p>
        </w:tc>
      </w:tr>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bCs/>
                <w:sz w:val="22"/>
                <w:szCs w:val="22"/>
              </w:rPr>
              <w:t>Petroindependencia, S.A.</w:t>
            </w:r>
          </w:p>
        </w:tc>
        <w:tc>
          <w:tcPr>
            <w:tcW w:w="170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25/06/2010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34</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5</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Chevron</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Japan Carabobo</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Suelopetrol</w:t>
            </w:r>
          </w:p>
        </w:tc>
        <w:tc>
          <w:tcPr>
            <w:tcW w:w="129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EE.UU.</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Japón</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Venezuela</w:t>
            </w:r>
          </w:p>
        </w:tc>
      </w:tr>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bCs/>
                <w:sz w:val="22"/>
                <w:szCs w:val="22"/>
              </w:rPr>
              <w:t>Petromacareo, S.A.</w:t>
            </w:r>
          </w:p>
        </w:tc>
        <w:tc>
          <w:tcPr>
            <w:tcW w:w="170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17/09/2010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PetroVietnam</w:t>
            </w:r>
          </w:p>
        </w:tc>
        <w:tc>
          <w:tcPr>
            <w:tcW w:w="129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Vietnam</w:t>
            </w:r>
          </w:p>
        </w:tc>
      </w:tr>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bCs/>
                <w:sz w:val="22"/>
                <w:szCs w:val="22"/>
              </w:rPr>
              <w:t>Empresa Mixta Petrolera Vencupet, S.A.</w:t>
            </w:r>
          </w:p>
        </w:tc>
        <w:tc>
          <w:tcPr>
            <w:tcW w:w="170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03/12/2010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CUPET</w:t>
            </w:r>
          </w:p>
        </w:tc>
        <w:tc>
          <w:tcPr>
            <w:tcW w:w="129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Cuba</w:t>
            </w:r>
          </w:p>
        </w:tc>
      </w:tr>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bCs/>
                <w:sz w:val="22"/>
                <w:szCs w:val="22"/>
              </w:rPr>
              <w:t>Petrourica, S.A.</w:t>
            </w:r>
          </w:p>
        </w:tc>
        <w:tc>
          <w:tcPr>
            <w:tcW w:w="170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14/12/2010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CNPC</w:t>
            </w:r>
          </w:p>
        </w:tc>
        <w:tc>
          <w:tcPr>
            <w:tcW w:w="129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China</w:t>
            </w:r>
          </w:p>
        </w:tc>
      </w:tr>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bCs/>
                <w:sz w:val="22"/>
                <w:szCs w:val="22"/>
              </w:rPr>
              <w:t>Petrojunín, S.A</w:t>
            </w:r>
          </w:p>
        </w:tc>
        <w:tc>
          <w:tcPr>
            <w:tcW w:w="170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14/12/2010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ENI</w:t>
            </w:r>
          </w:p>
        </w:tc>
        <w:tc>
          <w:tcPr>
            <w:tcW w:w="129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Italia</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La Nueva Pdvsa. Informe de Gestión Anual 2010. Caracas, Pdvsa.</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p>
    <w:p w:rsidR="00BC4C33" w:rsidRDefault="00531235" w:rsidP="00BC4C33">
      <w:pPr>
        <w:spacing w:after="100" w:afterAutospacing="1"/>
        <w:contextualSpacing/>
        <w:jc w:val="both"/>
        <w:rPr>
          <w:rFonts w:asciiTheme="minorHAnsi" w:hAnsiTheme="minorHAnsi"/>
          <w:b/>
          <w:sz w:val="22"/>
          <w:szCs w:val="22"/>
        </w:rPr>
      </w:pPr>
      <w:r>
        <w:rPr>
          <w:rFonts w:asciiTheme="minorHAnsi" w:hAnsiTheme="minorHAnsi"/>
          <w:b/>
          <w:sz w:val="22"/>
          <w:szCs w:val="22"/>
        </w:rPr>
        <w:t>Tabla Nº 2</w:t>
      </w:r>
      <w:r w:rsidR="00B65F87">
        <w:rPr>
          <w:rFonts w:asciiTheme="minorHAnsi" w:hAnsiTheme="minorHAnsi"/>
          <w:b/>
          <w:sz w:val="22"/>
          <w:szCs w:val="22"/>
        </w:rPr>
        <w:t>.13. Die</w:t>
      </w:r>
      <w:r w:rsidR="007C0252">
        <w:rPr>
          <w:rFonts w:asciiTheme="minorHAnsi" w:hAnsiTheme="minorHAnsi"/>
          <w:b/>
          <w:sz w:val="22"/>
          <w:szCs w:val="22"/>
        </w:rPr>
        <w:t>z nuevas filiales de PDVSA se crearon en</w:t>
      </w:r>
      <w:r w:rsidR="00B65F87">
        <w:rPr>
          <w:rFonts w:asciiTheme="minorHAnsi" w:hAnsiTheme="minorHAnsi"/>
          <w:b/>
          <w:sz w:val="22"/>
          <w:szCs w:val="22"/>
        </w:rPr>
        <w:t xml:space="preserve"> un año</w:t>
      </w:r>
    </w:p>
    <w:p w:rsidR="00B65F87" w:rsidRDefault="00B65F87" w:rsidP="00BC4C33">
      <w:pPr>
        <w:spacing w:after="100" w:afterAutospacing="1"/>
        <w:contextualSpacing/>
        <w:jc w:val="both"/>
        <w:rPr>
          <w:rFonts w:asciiTheme="minorHAnsi" w:hAnsiTheme="minorHAnsi"/>
          <w:b/>
          <w:sz w:val="22"/>
          <w:szCs w:val="22"/>
        </w:rPr>
      </w:pPr>
    </w:p>
    <w:p w:rsidR="00B65F87" w:rsidRPr="00B65F87" w:rsidRDefault="00B65F87" w:rsidP="00BC4C33">
      <w:pPr>
        <w:spacing w:after="100" w:afterAutospacing="1"/>
        <w:contextualSpacing/>
        <w:jc w:val="both"/>
        <w:rPr>
          <w:rFonts w:asciiTheme="minorHAnsi" w:hAnsiTheme="minorHAnsi"/>
          <w:sz w:val="22"/>
          <w:szCs w:val="22"/>
        </w:rPr>
      </w:pPr>
      <w:r w:rsidRPr="00B65F87">
        <w:rPr>
          <w:rFonts w:asciiTheme="minorHAnsi" w:hAnsiTheme="minorHAnsi"/>
          <w:sz w:val="22"/>
          <w:szCs w:val="22"/>
        </w:rPr>
        <w:t>Entre 2011-2013, Pdvsa constituyó diez nuevas filiales:</w:t>
      </w:r>
    </w:p>
    <w:p w:rsidR="00D72C3D" w:rsidRPr="001A3152" w:rsidRDefault="00D72C3D" w:rsidP="00BC4C33">
      <w:pPr>
        <w:spacing w:after="100" w:afterAutospacing="1"/>
        <w:contextualSpacing/>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4415"/>
        <w:gridCol w:w="4413"/>
      </w:tblGrid>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Filial</w:t>
            </w:r>
          </w:p>
        </w:tc>
        <w:tc>
          <w:tcPr>
            <w:tcW w:w="4489"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Actividad</w:t>
            </w:r>
          </w:p>
        </w:tc>
      </w:tr>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Pdvsa Social</w:t>
            </w:r>
          </w:p>
        </w:tc>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Promover y estimular el desarrollo social</w:t>
            </w:r>
          </w:p>
        </w:tc>
      </w:tr>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Minería Industrial y Agregados de Vargas, S.A. (Minavargas)</w:t>
            </w:r>
          </w:p>
        </w:tc>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n.d.</w:t>
            </w:r>
          </w:p>
        </w:tc>
      </w:tr>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Corporación Socialista Varguense de</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Infraestructura, S.A (Corsovarin)</w:t>
            </w:r>
          </w:p>
        </w:tc>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n.d.</w:t>
            </w:r>
          </w:p>
        </w:tc>
      </w:tr>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Empresa Nacional Salinera ENASAL, S.A.</w:t>
            </w:r>
          </w:p>
        </w:tc>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n.d.</w:t>
            </w:r>
          </w:p>
        </w:tc>
      </w:tr>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Construpatria, S.A.</w:t>
            </w:r>
          </w:p>
        </w:tc>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n.d.</w:t>
            </w:r>
          </w:p>
        </w:tc>
      </w:tr>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Empresa Nacional de Válvulas, S.A. (Enaval)</w:t>
            </w:r>
          </w:p>
        </w:tc>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n.d.</w:t>
            </w:r>
          </w:p>
        </w:tc>
      </w:tr>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Complejo Industrial de Maderero Libertadores de América CIMLA, S.A.</w:t>
            </w:r>
          </w:p>
        </w:tc>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n.d.</w:t>
            </w:r>
          </w:p>
        </w:tc>
      </w:tr>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Corporación Venezolana de Minería, S.A.</w:t>
            </w:r>
          </w:p>
        </w:tc>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Desarrollar y ejecutar actividades mineras</w:t>
            </w:r>
          </w:p>
        </w:tc>
      </w:tr>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lastRenderedPageBreak/>
              <w:t>Comercializadora de Suministros Regionales del Caribe, S.A. (COMSURCA)</w:t>
            </w:r>
          </w:p>
        </w:tc>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Producción y comercialización de bienes y servicios venezolanos en la Región del Caribe, Centroamérica y Sudamérica</w:t>
            </w:r>
          </w:p>
        </w:tc>
      </w:tr>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lang w:val="en-US"/>
              </w:rPr>
              <w:t>PDVSA Services Trading Shanghái Co, Ltd.</w:t>
            </w:r>
          </w:p>
        </w:tc>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Adquisición de materiales y equipos en el mercado</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asiático necesarios para las actividades de PDVSA</w:t>
            </w:r>
          </w:p>
        </w:tc>
      </w:tr>
      <w:tr w:rsidR="00BC4C33" w:rsidRPr="001A3152" w:rsidTr="00D72C3D">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Empresa Nacional Aurífera, S.A. (ENA)</w:t>
            </w:r>
            <w:r w:rsidRPr="001A3152">
              <w:rPr>
                <w:rFonts w:asciiTheme="minorHAnsi" w:hAnsiTheme="minorHAnsi"/>
                <w:sz w:val="22"/>
                <w:szCs w:val="22"/>
                <w:vertAlign w:val="superscript"/>
              </w:rPr>
              <w:t xml:space="preserve"> 1/</w:t>
            </w:r>
          </w:p>
        </w:tc>
        <w:tc>
          <w:tcPr>
            <w:tcW w:w="4489"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Actividades mineras y auríferas</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Nota: nd.d.: no disponible </w:t>
      </w:r>
      <w:r w:rsidRPr="001A3152">
        <w:rPr>
          <w:rFonts w:asciiTheme="minorHAnsi" w:hAnsiTheme="minorHAnsi"/>
          <w:sz w:val="22"/>
          <w:szCs w:val="22"/>
          <w:vertAlign w:val="superscript"/>
        </w:rPr>
        <w:t>1/</w:t>
      </w:r>
      <w:r w:rsidRPr="001A3152">
        <w:rPr>
          <w:rFonts w:asciiTheme="minorHAnsi" w:hAnsiTheme="minorHAnsi"/>
          <w:sz w:val="22"/>
          <w:szCs w:val="22"/>
        </w:rPr>
        <w:t xml:space="preserve">Pdvsa vendió 40 % de su participación en ENA al BCV por 12 mil millones de dólares en el 2013. </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Pdvsa. Estados Financieros Consolidados. 31 de diciembre de 2013, 2012 y 2011. Caracas, 2014.</w:t>
      </w:r>
    </w:p>
    <w:p w:rsidR="00BC4C33" w:rsidRPr="001A3152" w:rsidRDefault="00BC4C33" w:rsidP="00BC4C33">
      <w:pPr>
        <w:spacing w:after="100" w:afterAutospacing="1"/>
        <w:contextualSpacing/>
        <w:jc w:val="both"/>
        <w:rPr>
          <w:rFonts w:asciiTheme="minorHAnsi" w:hAnsiTheme="minorHAnsi"/>
          <w:sz w:val="22"/>
          <w:szCs w:val="22"/>
        </w:rPr>
      </w:pPr>
    </w:p>
    <w:p w:rsidR="00BC4C33"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En el mismo período (2011-2013), Pdvsa constituyó cuatro nu</w:t>
      </w:r>
      <w:r w:rsidR="00531235">
        <w:rPr>
          <w:rFonts w:asciiTheme="minorHAnsi" w:hAnsiTheme="minorHAnsi"/>
          <w:sz w:val="22"/>
          <w:szCs w:val="22"/>
        </w:rPr>
        <w:t>evas empresas mixtas (tabla Nº 2</w:t>
      </w:r>
      <w:r w:rsidRPr="001A3152">
        <w:rPr>
          <w:rFonts w:asciiTheme="minorHAnsi" w:hAnsiTheme="minorHAnsi"/>
          <w:sz w:val="22"/>
          <w:szCs w:val="22"/>
        </w:rPr>
        <w:t>.14.).</w:t>
      </w:r>
    </w:p>
    <w:p w:rsidR="007C0252" w:rsidRPr="001A3152" w:rsidRDefault="007C0252"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p>
    <w:p w:rsidR="00BC4C33" w:rsidRPr="001A3152" w:rsidRDefault="00531235" w:rsidP="00BC4C33">
      <w:pPr>
        <w:spacing w:after="100" w:afterAutospacing="1"/>
        <w:contextualSpacing/>
        <w:jc w:val="both"/>
        <w:rPr>
          <w:rFonts w:asciiTheme="minorHAnsi" w:hAnsiTheme="minorHAnsi"/>
          <w:b/>
          <w:sz w:val="22"/>
          <w:szCs w:val="22"/>
        </w:rPr>
      </w:pPr>
      <w:r>
        <w:rPr>
          <w:rFonts w:asciiTheme="minorHAnsi" w:hAnsiTheme="minorHAnsi"/>
          <w:b/>
          <w:sz w:val="22"/>
          <w:szCs w:val="22"/>
        </w:rPr>
        <w:t>Tabla Nº 2</w:t>
      </w:r>
      <w:r w:rsidR="00BC4C33" w:rsidRPr="001A3152">
        <w:rPr>
          <w:rFonts w:asciiTheme="minorHAnsi" w:hAnsiTheme="minorHAnsi"/>
          <w:b/>
          <w:sz w:val="22"/>
          <w:szCs w:val="22"/>
        </w:rPr>
        <w:t>.14. Nuevas empresas mixtas constituidas entre 2011-2013</w:t>
      </w:r>
    </w:p>
    <w:p w:rsidR="00D72C3D" w:rsidRPr="001A3152" w:rsidRDefault="00D72C3D" w:rsidP="00BC4C33">
      <w:pPr>
        <w:spacing w:after="100" w:afterAutospacing="1"/>
        <w:contextualSpacing/>
        <w:jc w:val="both"/>
        <w:rPr>
          <w:rFonts w:asciiTheme="minorHAnsi" w:hAnsiTheme="minorHAnsi"/>
          <w:b/>
          <w:sz w:val="22"/>
          <w:szCs w:val="22"/>
        </w:rPr>
      </w:pPr>
    </w:p>
    <w:tbl>
      <w:tblPr>
        <w:tblStyle w:val="TableGrid"/>
        <w:tblW w:w="0" w:type="auto"/>
        <w:tblLayout w:type="fixed"/>
        <w:tblLook w:val="04A0" w:firstRow="1" w:lastRow="0" w:firstColumn="1" w:lastColumn="0" w:noHBand="0" w:noVBand="1"/>
      </w:tblPr>
      <w:tblGrid>
        <w:gridCol w:w="2235"/>
        <w:gridCol w:w="1701"/>
        <w:gridCol w:w="992"/>
        <w:gridCol w:w="992"/>
        <w:gridCol w:w="1843"/>
        <w:gridCol w:w="1291"/>
      </w:tblGrid>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Empresa Mixta</w:t>
            </w:r>
          </w:p>
        </w:tc>
        <w:tc>
          <w:tcPr>
            <w:tcW w:w="1701"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Fecha de</w:t>
            </w:r>
          </w:p>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Constitución</w:t>
            </w:r>
          </w:p>
        </w:tc>
        <w:tc>
          <w:tcPr>
            <w:tcW w:w="992"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Pdvsa</w:t>
            </w:r>
          </w:p>
        </w:tc>
        <w:tc>
          <w:tcPr>
            <w:tcW w:w="992"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 Socio</w:t>
            </w:r>
          </w:p>
        </w:tc>
        <w:tc>
          <w:tcPr>
            <w:tcW w:w="1843"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Accionista</w:t>
            </w:r>
          </w:p>
        </w:tc>
        <w:tc>
          <w:tcPr>
            <w:tcW w:w="1291" w:type="dxa"/>
            <w:vAlign w:val="center"/>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País</w:t>
            </w:r>
          </w:p>
        </w:tc>
      </w:tr>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bCs/>
                <w:sz w:val="22"/>
                <w:szCs w:val="22"/>
                <w:lang w:val="en-US"/>
              </w:rPr>
            </w:pPr>
            <w:r w:rsidRPr="001A3152">
              <w:rPr>
                <w:rFonts w:asciiTheme="minorHAnsi" w:hAnsiTheme="minorHAnsi"/>
                <w:sz w:val="22"/>
                <w:szCs w:val="22"/>
              </w:rPr>
              <w:t>Petrolera Venangocupet, S.A.</w:t>
            </w:r>
          </w:p>
        </w:tc>
        <w:tc>
          <w:tcPr>
            <w:tcW w:w="1701" w:type="dxa"/>
            <w:vAlign w:val="center"/>
          </w:tcPr>
          <w:p w:rsidR="00BC4C33" w:rsidRPr="001A3152" w:rsidRDefault="00BC4C33" w:rsidP="00BC4C33">
            <w:pPr>
              <w:spacing w:after="100" w:afterAutospacing="1"/>
              <w:contextualSpacing/>
              <w:jc w:val="both"/>
              <w:rPr>
                <w:rFonts w:asciiTheme="minorHAnsi" w:hAnsiTheme="minorHAnsi"/>
                <w:sz w:val="22"/>
                <w:szCs w:val="22"/>
                <w:lang w:val="en-US"/>
              </w:rPr>
            </w:pPr>
            <w:r w:rsidRPr="001A3152">
              <w:rPr>
                <w:rFonts w:asciiTheme="minorHAnsi" w:hAnsiTheme="minorHAnsi"/>
                <w:sz w:val="22"/>
                <w:szCs w:val="22"/>
              </w:rPr>
              <w:t>2011</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20</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20</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Comercial Cupet Sonangol</w:t>
            </w:r>
          </w:p>
        </w:tc>
        <w:tc>
          <w:tcPr>
            <w:tcW w:w="129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Cuba</w:t>
            </w: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Angola</w:t>
            </w:r>
          </w:p>
        </w:tc>
      </w:tr>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bCs/>
                <w:sz w:val="22"/>
                <w:szCs w:val="22"/>
              </w:rPr>
            </w:pPr>
            <w:r w:rsidRPr="001A3152">
              <w:rPr>
                <w:rFonts w:asciiTheme="minorHAnsi" w:hAnsiTheme="minorHAnsi"/>
                <w:sz w:val="22"/>
                <w:szCs w:val="22"/>
              </w:rPr>
              <w:t>PetroUrdaneta, S.A.</w:t>
            </w:r>
          </w:p>
        </w:tc>
        <w:tc>
          <w:tcPr>
            <w:tcW w:w="170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2012</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Odebrecht E&amp;P España S.L.</w:t>
            </w:r>
          </w:p>
        </w:tc>
        <w:tc>
          <w:tcPr>
            <w:tcW w:w="129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Brasil</w:t>
            </w:r>
          </w:p>
        </w:tc>
      </w:tr>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PetroZamora, S.A.</w:t>
            </w:r>
          </w:p>
        </w:tc>
        <w:tc>
          <w:tcPr>
            <w:tcW w:w="170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2012</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Gazprombank Latin America Ventures B.V.</w:t>
            </w:r>
          </w:p>
        </w:tc>
        <w:tc>
          <w:tcPr>
            <w:tcW w:w="129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Rusia</w:t>
            </w:r>
          </w:p>
        </w:tc>
      </w:tr>
      <w:tr w:rsidR="00BC4C33" w:rsidRPr="001A3152" w:rsidTr="00D72C3D">
        <w:tc>
          <w:tcPr>
            <w:tcW w:w="2235"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PetroVictoria, S.A.</w:t>
            </w:r>
          </w:p>
        </w:tc>
        <w:tc>
          <w:tcPr>
            <w:tcW w:w="170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2013</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60</w:t>
            </w:r>
          </w:p>
        </w:tc>
        <w:tc>
          <w:tcPr>
            <w:tcW w:w="992"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40</w:t>
            </w:r>
          </w:p>
        </w:tc>
        <w:tc>
          <w:tcPr>
            <w:tcW w:w="1843"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OJSC Oil Company Rosneft</w:t>
            </w:r>
          </w:p>
        </w:tc>
        <w:tc>
          <w:tcPr>
            <w:tcW w:w="1291" w:type="dxa"/>
            <w:vAlign w:val="center"/>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Rusia</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Pdvsa. Estados Financieros Consolidados. 31 de diciembre de 2013, 2012 y 2011. Caracas, 2014.</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En el 2015, Bariven fue adscrita a la Corporación Venezolana de Comercio Exterior, S.A. (CORPOVEX). Este mismo año, el Gobierno activó el plan de desarrollo integral para la Faja Petrolífera del Orinoco, y en el 2016, el Presidente Maduro decretó la Faja Petrolífera del Orinoco “Hugo Chávez” como Zona de Desarrollo Estratégico.</w:t>
      </w:r>
    </w:p>
    <w:p w:rsidR="00BC4C33" w:rsidRPr="001A3152" w:rsidRDefault="00BC4C33" w:rsidP="00BC4C33">
      <w:pPr>
        <w:spacing w:after="100" w:afterAutospacing="1"/>
        <w:contextualSpacing/>
        <w:jc w:val="both"/>
        <w:rPr>
          <w:rFonts w:asciiTheme="minorHAnsi" w:hAnsiTheme="minorHAnsi"/>
          <w:sz w:val="22"/>
          <w:szCs w:val="22"/>
        </w:rPr>
      </w:pPr>
    </w:p>
    <w:p w:rsidR="00BC4C33" w:rsidRDefault="00531235" w:rsidP="00BC4C33">
      <w:pPr>
        <w:spacing w:after="100" w:afterAutospacing="1"/>
        <w:contextualSpacing/>
        <w:jc w:val="both"/>
        <w:rPr>
          <w:rFonts w:asciiTheme="minorHAnsi" w:hAnsiTheme="minorHAnsi"/>
          <w:sz w:val="22"/>
          <w:szCs w:val="22"/>
        </w:rPr>
      </w:pPr>
      <w:r>
        <w:rPr>
          <w:rFonts w:asciiTheme="minorHAnsi" w:hAnsiTheme="minorHAnsi"/>
          <w:sz w:val="22"/>
          <w:szCs w:val="22"/>
        </w:rPr>
        <w:t>En la tabla Nº 2</w:t>
      </w:r>
      <w:r w:rsidR="00BC4C33" w:rsidRPr="001A3152">
        <w:rPr>
          <w:rFonts w:asciiTheme="minorHAnsi" w:hAnsiTheme="minorHAnsi"/>
          <w:sz w:val="22"/>
          <w:szCs w:val="22"/>
        </w:rPr>
        <w:t>.15 se muestra en resumen el total de empresas filiales (100% de participación) y asociaciones y empresas mixtas (menos de 100% de participación) de Pdvsa en el 2000 y en el 2015 asentadas en este informe.</w:t>
      </w:r>
    </w:p>
    <w:p w:rsidR="007C0252" w:rsidRDefault="007C0252" w:rsidP="00BC4C33">
      <w:pPr>
        <w:spacing w:after="100" w:afterAutospacing="1"/>
        <w:contextualSpacing/>
        <w:jc w:val="both"/>
        <w:rPr>
          <w:rFonts w:asciiTheme="minorHAnsi" w:hAnsiTheme="minorHAnsi"/>
          <w:sz w:val="22"/>
          <w:szCs w:val="22"/>
        </w:rPr>
      </w:pPr>
    </w:p>
    <w:p w:rsidR="007C0252" w:rsidRDefault="007C0252" w:rsidP="00BC4C33">
      <w:pPr>
        <w:spacing w:after="100" w:afterAutospacing="1"/>
        <w:contextualSpacing/>
        <w:jc w:val="both"/>
        <w:rPr>
          <w:rFonts w:asciiTheme="minorHAnsi" w:hAnsiTheme="minorHAnsi"/>
          <w:sz w:val="22"/>
          <w:szCs w:val="22"/>
        </w:rPr>
      </w:pPr>
    </w:p>
    <w:p w:rsidR="007C0252" w:rsidRDefault="007C0252" w:rsidP="00BC4C33">
      <w:pPr>
        <w:spacing w:after="100" w:afterAutospacing="1"/>
        <w:contextualSpacing/>
        <w:jc w:val="both"/>
        <w:rPr>
          <w:rFonts w:asciiTheme="minorHAnsi" w:hAnsiTheme="minorHAnsi"/>
          <w:sz w:val="22"/>
          <w:szCs w:val="22"/>
        </w:rPr>
      </w:pPr>
    </w:p>
    <w:p w:rsidR="007C0252" w:rsidRDefault="007C0252" w:rsidP="00BC4C33">
      <w:pPr>
        <w:spacing w:after="100" w:afterAutospacing="1"/>
        <w:contextualSpacing/>
        <w:jc w:val="both"/>
        <w:rPr>
          <w:rFonts w:asciiTheme="minorHAnsi" w:hAnsiTheme="minorHAnsi"/>
          <w:sz w:val="22"/>
          <w:szCs w:val="22"/>
        </w:rPr>
      </w:pPr>
    </w:p>
    <w:p w:rsidR="007C0252" w:rsidRDefault="007C0252" w:rsidP="00BC4C33">
      <w:pPr>
        <w:spacing w:after="100" w:afterAutospacing="1"/>
        <w:contextualSpacing/>
        <w:jc w:val="both"/>
        <w:rPr>
          <w:rFonts w:asciiTheme="minorHAnsi" w:hAnsiTheme="minorHAnsi"/>
          <w:sz w:val="22"/>
          <w:szCs w:val="22"/>
        </w:rPr>
      </w:pPr>
    </w:p>
    <w:p w:rsidR="007C0252" w:rsidRDefault="007C0252" w:rsidP="00BC4C33">
      <w:pPr>
        <w:spacing w:after="100" w:afterAutospacing="1"/>
        <w:contextualSpacing/>
        <w:jc w:val="both"/>
        <w:rPr>
          <w:rFonts w:asciiTheme="minorHAnsi" w:hAnsiTheme="minorHAnsi"/>
          <w:sz w:val="22"/>
          <w:szCs w:val="22"/>
        </w:rPr>
      </w:pPr>
    </w:p>
    <w:p w:rsidR="007C0252" w:rsidRDefault="007C0252" w:rsidP="00BC4C33">
      <w:pPr>
        <w:spacing w:after="100" w:afterAutospacing="1"/>
        <w:contextualSpacing/>
        <w:jc w:val="both"/>
        <w:rPr>
          <w:rFonts w:asciiTheme="minorHAnsi" w:hAnsiTheme="minorHAnsi"/>
          <w:sz w:val="22"/>
          <w:szCs w:val="22"/>
        </w:rPr>
      </w:pPr>
    </w:p>
    <w:p w:rsidR="007C0252" w:rsidRPr="001A3152" w:rsidRDefault="007C0252"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b/>
          <w:sz w:val="22"/>
          <w:szCs w:val="22"/>
        </w:rPr>
      </w:pPr>
    </w:p>
    <w:p w:rsidR="00BC4C33" w:rsidRDefault="00531235" w:rsidP="00BC4C33">
      <w:pPr>
        <w:spacing w:after="100" w:afterAutospacing="1"/>
        <w:contextualSpacing/>
        <w:jc w:val="both"/>
        <w:rPr>
          <w:rFonts w:asciiTheme="minorHAnsi" w:hAnsiTheme="minorHAnsi"/>
          <w:b/>
          <w:sz w:val="22"/>
          <w:szCs w:val="22"/>
        </w:rPr>
      </w:pPr>
      <w:r>
        <w:rPr>
          <w:rFonts w:asciiTheme="minorHAnsi" w:hAnsiTheme="minorHAnsi"/>
          <w:b/>
          <w:sz w:val="22"/>
          <w:szCs w:val="22"/>
        </w:rPr>
        <w:t xml:space="preserve">Tabla Nº 2.15. Crecimiento de PDVSA en número de empresas </w:t>
      </w:r>
    </w:p>
    <w:p w:rsidR="00531235" w:rsidRPr="001A3152" w:rsidRDefault="00531235" w:rsidP="00BC4C33">
      <w:pPr>
        <w:spacing w:after="100" w:afterAutospacing="1"/>
        <w:contextualSpacing/>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3740"/>
        <w:gridCol w:w="2504"/>
        <w:gridCol w:w="2584"/>
      </w:tblGrid>
      <w:tr w:rsidR="00BC4C33" w:rsidRPr="001A3152" w:rsidTr="00D72C3D">
        <w:tc>
          <w:tcPr>
            <w:tcW w:w="3794"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Pdvsa</w:t>
            </w:r>
          </w:p>
        </w:tc>
        <w:tc>
          <w:tcPr>
            <w:tcW w:w="2551"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2000</w:t>
            </w:r>
          </w:p>
        </w:tc>
        <w:tc>
          <w:tcPr>
            <w:tcW w:w="2633" w:type="dxa"/>
          </w:tcPr>
          <w:p w:rsidR="00BC4C33" w:rsidRPr="001A3152" w:rsidRDefault="00BC4C33" w:rsidP="00BC4C33">
            <w:pPr>
              <w:spacing w:after="100" w:afterAutospacing="1"/>
              <w:contextualSpacing/>
              <w:jc w:val="both"/>
              <w:rPr>
                <w:rFonts w:asciiTheme="minorHAnsi" w:hAnsiTheme="minorHAnsi"/>
                <w:b/>
                <w:sz w:val="22"/>
                <w:szCs w:val="22"/>
              </w:rPr>
            </w:pPr>
            <w:r w:rsidRPr="001A3152">
              <w:rPr>
                <w:rFonts w:asciiTheme="minorHAnsi" w:hAnsiTheme="minorHAnsi"/>
                <w:b/>
                <w:sz w:val="22"/>
                <w:szCs w:val="22"/>
              </w:rPr>
              <w:t>2015</w:t>
            </w:r>
          </w:p>
        </w:tc>
      </w:tr>
      <w:tr w:rsidR="00BC4C33" w:rsidRPr="001A3152" w:rsidTr="00D72C3D">
        <w:tc>
          <w:tcPr>
            <w:tcW w:w="379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Número de empresas filiales nacionales</w:t>
            </w:r>
          </w:p>
        </w:tc>
        <w:tc>
          <w:tcPr>
            <w:tcW w:w="2551"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13</w:t>
            </w:r>
          </w:p>
        </w:tc>
        <w:tc>
          <w:tcPr>
            <w:tcW w:w="2633"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22</w:t>
            </w:r>
          </w:p>
        </w:tc>
      </w:tr>
      <w:tr w:rsidR="00BC4C33" w:rsidRPr="001A3152" w:rsidTr="00D72C3D">
        <w:tc>
          <w:tcPr>
            <w:tcW w:w="379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Número de empresas filiales internacionales</w:t>
            </w:r>
          </w:p>
        </w:tc>
        <w:tc>
          <w:tcPr>
            <w:tcW w:w="2551"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w:t>
            </w:r>
          </w:p>
        </w:tc>
        <w:tc>
          <w:tcPr>
            <w:tcW w:w="2633"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21</w:t>
            </w:r>
          </w:p>
        </w:tc>
      </w:tr>
      <w:tr w:rsidR="00BC4C33" w:rsidRPr="001A3152" w:rsidTr="00D72C3D">
        <w:tc>
          <w:tcPr>
            <w:tcW w:w="379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Número de asociaciones</w:t>
            </w:r>
          </w:p>
        </w:tc>
        <w:tc>
          <w:tcPr>
            <w:tcW w:w="2551"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44</w:t>
            </w:r>
          </w:p>
        </w:tc>
        <w:tc>
          <w:tcPr>
            <w:tcW w:w="2633"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r>
      <w:tr w:rsidR="00BC4C33" w:rsidRPr="001A3152" w:rsidTr="00D72C3D">
        <w:tc>
          <w:tcPr>
            <w:tcW w:w="379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Número de empresas mixtas creadas luego de eliminar antiguas asociaciones</w:t>
            </w:r>
          </w:p>
        </w:tc>
        <w:tc>
          <w:tcPr>
            <w:tcW w:w="2551"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w:t>
            </w:r>
          </w:p>
        </w:tc>
        <w:tc>
          <w:tcPr>
            <w:tcW w:w="2633" w:type="dxa"/>
          </w:tcPr>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45</w:t>
            </w:r>
          </w:p>
        </w:tc>
      </w:tr>
      <w:tr w:rsidR="00BC4C33" w:rsidRPr="001A3152" w:rsidTr="00D72C3D">
        <w:trPr>
          <w:trHeight w:val="491"/>
        </w:trPr>
        <w:tc>
          <w:tcPr>
            <w:tcW w:w="379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Número de empresas bajo dominio de filiales de PDVSA no petroleras</w:t>
            </w:r>
          </w:p>
        </w:tc>
        <w:tc>
          <w:tcPr>
            <w:tcW w:w="2551" w:type="dxa"/>
          </w:tcPr>
          <w:p w:rsidR="00BC4C33" w:rsidRPr="001A3152" w:rsidRDefault="00BC4C33" w:rsidP="00BC4C33">
            <w:pPr>
              <w:spacing w:after="100" w:afterAutospacing="1"/>
              <w:contextualSpacing/>
              <w:jc w:val="both"/>
              <w:rPr>
                <w:rFonts w:asciiTheme="minorHAnsi" w:hAnsiTheme="minorHAnsi"/>
                <w:sz w:val="22"/>
                <w:szCs w:val="22"/>
              </w:rPr>
            </w:pPr>
          </w:p>
        </w:tc>
        <w:tc>
          <w:tcPr>
            <w:tcW w:w="2633" w:type="dxa"/>
          </w:tcPr>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47</w:t>
            </w:r>
          </w:p>
        </w:tc>
      </w:tr>
      <w:tr w:rsidR="00BC4C33" w:rsidRPr="001A3152" w:rsidTr="00D72C3D">
        <w:trPr>
          <w:trHeight w:val="400"/>
        </w:trPr>
        <w:tc>
          <w:tcPr>
            <w:tcW w:w="3794"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Total empresas vinculadas a PDVSA</w:t>
            </w:r>
          </w:p>
        </w:tc>
        <w:tc>
          <w:tcPr>
            <w:tcW w:w="2551"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17</w:t>
            </w:r>
          </w:p>
        </w:tc>
        <w:tc>
          <w:tcPr>
            <w:tcW w:w="2633" w:type="dxa"/>
          </w:tcPr>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135</w:t>
            </w:r>
          </w:p>
        </w:tc>
      </w:tr>
    </w:tbl>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Fuente: Elaboración de los autores con base en las fuentes oficiales de las tablas anteriores, boletín de PDVSA 2014 de filiales no petroleras e Informe de Gestión Anual 2015 de PDVSA.</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BC4C33">
      <w:pPr>
        <w:spacing w:after="100" w:afterAutospacing="1"/>
        <w:contextualSpacing/>
        <w:jc w:val="both"/>
        <w:rPr>
          <w:rFonts w:asciiTheme="minorHAnsi" w:hAnsiTheme="minorHAnsi"/>
          <w:sz w:val="22"/>
          <w:szCs w:val="22"/>
        </w:rPr>
      </w:pPr>
      <w:r w:rsidRPr="001A3152">
        <w:rPr>
          <w:rFonts w:asciiTheme="minorHAnsi" w:hAnsiTheme="minorHAnsi"/>
          <w:sz w:val="22"/>
          <w:szCs w:val="22"/>
        </w:rPr>
        <w:t>El 10 de febrero de 2016, fue publicado en la Gaceta Oficial N° 40.845 el Decreto Presidencial N° 2.231 mediante el cual se autoriza la creación de una empresa del Estado, denominada Compañía Anónima Militar de Industrias Mineras, Petrolíferas y de Gas (CAMIMPEG), la cual estará adscrita al Ministerio del Poder Popular para la Defensa, y su objeto será efectuar todo lo relativo a las actividades lícitas de servicios petroleros, de gas y explotación minera en general.</w:t>
      </w:r>
    </w:p>
    <w:p w:rsidR="00BC4C33" w:rsidRPr="001A3152" w:rsidRDefault="00BC4C33" w:rsidP="00BC4C33">
      <w:pPr>
        <w:spacing w:after="100" w:afterAutospacing="1"/>
        <w:contextualSpacing/>
        <w:jc w:val="both"/>
        <w:rPr>
          <w:rFonts w:asciiTheme="minorHAnsi" w:hAnsiTheme="minorHAnsi"/>
          <w:sz w:val="22"/>
          <w:szCs w:val="22"/>
        </w:rPr>
      </w:pPr>
    </w:p>
    <w:p w:rsidR="00BC4C33" w:rsidRPr="001A3152" w:rsidRDefault="00BC4C33" w:rsidP="00C54185">
      <w:pPr>
        <w:spacing w:after="100" w:afterAutospacing="1"/>
        <w:contextualSpacing/>
        <w:jc w:val="both"/>
        <w:rPr>
          <w:rFonts w:asciiTheme="minorHAnsi" w:hAnsiTheme="minorHAnsi"/>
          <w:b/>
          <w:sz w:val="22"/>
          <w:szCs w:val="22"/>
          <w:lang w:val="es-ES"/>
        </w:rPr>
      </w:pPr>
      <w:r w:rsidRPr="001A3152">
        <w:rPr>
          <w:rFonts w:asciiTheme="minorHAnsi" w:hAnsiTheme="minorHAnsi"/>
          <w:sz w:val="22"/>
          <w:szCs w:val="22"/>
          <w:lang w:val="es-ES"/>
        </w:rPr>
        <w:br w:type="page"/>
      </w:r>
    </w:p>
    <w:p w:rsidR="00BC4C33" w:rsidRPr="001A3152" w:rsidRDefault="00BC4C33" w:rsidP="00C54185">
      <w:pPr>
        <w:spacing w:after="100" w:afterAutospacing="1"/>
        <w:contextualSpacing/>
        <w:jc w:val="both"/>
        <w:rPr>
          <w:rFonts w:asciiTheme="minorHAnsi" w:hAnsiTheme="minorHAnsi"/>
          <w:b/>
          <w:sz w:val="22"/>
          <w:szCs w:val="22"/>
        </w:rPr>
      </w:pPr>
    </w:p>
    <w:p w:rsidR="00E50BD3" w:rsidRPr="001A3152" w:rsidRDefault="00BC4C33" w:rsidP="00C54185">
      <w:pPr>
        <w:spacing w:after="100" w:afterAutospacing="1"/>
        <w:contextualSpacing/>
        <w:jc w:val="both"/>
        <w:rPr>
          <w:rFonts w:asciiTheme="minorHAnsi" w:hAnsiTheme="minorHAnsi"/>
          <w:sz w:val="22"/>
          <w:szCs w:val="22"/>
        </w:rPr>
      </w:pPr>
      <w:r w:rsidRPr="001A3152">
        <w:rPr>
          <w:rFonts w:asciiTheme="minorHAnsi" w:hAnsiTheme="minorHAnsi"/>
          <w:b/>
          <w:sz w:val="22"/>
          <w:szCs w:val="22"/>
        </w:rPr>
        <w:t xml:space="preserve">III. </w:t>
      </w:r>
      <w:r w:rsidR="00AC7226" w:rsidRPr="001A3152">
        <w:rPr>
          <w:rFonts w:asciiTheme="minorHAnsi" w:hAnsiTheme="minorHAnsi"/>
          <w:b/>
          <w:sz w:val="22"/>
          <w:szCs w:val="22"/>
        </w:rPr>
        <w:t>L</w:t>
      </w:r>
      <w:r w:rsidR="007C0252">
        <w:rPr>
          <w:rFonts w:asciiTheme="minorHAnsi" w:hAnsiTheme="minorHAnsi"/>
          <w:b/>
          <w:sz w:val="22"/>
          <w:szCs w:val="22"/>
        </w:rPr>
        <w:t>imitaciones</w:t>
      </w:r>
      <w:r w:rsidR="000A39DE" w:rsidRPr="001A3152">
        <w:rPr>
          <w:rFonts w:asciiTheme="minorHAnsi" w:hAnsiTheme="minorHAnsi"/>
          <w:b/>
          <w:sz w:val="22"/>
          <w:szCs w:val="22"/>
        </w:rPr>
        <w:t xml:space="preserve"> para acceder a la información y</w:t>
      </w:r>
      <w:r w:rsidR="007C0252">
        <w:rPr>
          <w:rFonts w:asciiTheme="minorHAnsi" w:hAnsiTheme="minorHAnsi"/>
          <w:b/>
          <w:sz w:val="22"/>
          <w:szCs w:val="22"/>
        </w:rPr>
        <w:t xml:space="preserve"> a</w:t>
      </w:r>
      <w:r w:rsidR="000A39DE" w:rsidRPr="001A3152">
        <w:rPr>
          <w:rFonts w:asciiTheme="minorHAnsi" w:hAnsiTheme="minorHAnsi"/>
          <w:b/>
          <w:sz w:val="22"/>
          <w:szCs w:val="22"/>
        </w:rPr>
        <w:t xml:space="preserve"> las fuentes consultadas</w:t>
      </w:r>
    </w:p>
    <w:p w:rsidR="00001461" w:rsidRPr="001A3152" w:rsidRDefault="00001461" w:rsidP="00C54185">
      <w:pPr>
        <w:spacing w:after="100" w:afterAutospacing="1"/>
        <w:contextualSpacing/>
        <w:jc w:val="both"/>
        <w:rPr>
          <w:rFonts w:asciiTheme="minorHAnsi" w:hAnsiTheme="minorHAnsi"/>
          <w:sz w:val="22"/>
          <w:szCs w:val="22"/>
          <w:highlight w:val="yellow"/>
        </w:rPr>
      </w:pPr>
    </w:p>
    <w:p w:rsidR="002E3B39" w:rsidRPr="001A3152" w:rsidRDefault="002E3B39" w:rsidP="002E3B39">
      <w:pPr>
        <w:spacing w:after="100" w:afterAutospacing="1"/>
        <w:contextualSpacing/>
        <w:jc w:val="both"/>
        <w:rPr>
          <w:rFonts w:asciiTheme="minorHAnsi" w:hAnsiTheme="minorHAnsi"/>
          <w:sz w:val="22"/>
          <w:szCs w:val="22"/>
        </w:rPr>
      </w:pPr>
      <w:r w:rsidRPr="001A3152">
        <w:rPr>
          <w:rFonts w:asciiTheme="minorHAnsi" w:hAnsiTheme="minorHAnsi"/>
          <w:sz w:val="22"/>
          <w:szCs w:val="22"/>
        </w:rPr>
        <w:t xml:space="preserve">Para elaborar este informe, los autores obtuvieron información </w:t>
      </w:r>
      <w:r w:rsidR="00661645" w:rsidRPr="001A3152">
        <w:rPr>
          <w:rFonts w:asciiTheme="minorHAnsi" w:hAnsiTheme="minorHAnsi"/>
          <w:sz w:val="22"/>
          <w:szCs w:val="22"/>
        </w:rPr>
        <w:t>de</w:t>
      </w:r>
      <w:r w:rsidRPr="001A3152">
        <w:rPr>
          <w:rFonts w:asciiTheme="minorHAnsi" w:hAnsiTheme="minorHAnsi"/>
          <w:sz w:val="22"/>
          <w:szCs w:val="22"/>
        </w:rPr>
        <w:t xml:space="preserve"> fuentes oficiales nacionales, disponibles públicamente, pero no siempre fue así, porque algunas de estas fuentes contienen información no actualizada (como el PODE 2013). Tuvieron que acudir entonces a fuentes oficiales de organismos internacionales (como el SELA y la OPEC), avaladas o no (fuentes secundarias) por las autoridades venezolanas.</w:t>
      </w:r>
      <w:r w:rsidR="00C2484E" w:rsidRPr="001A3152">
        <w:rPr>
          <w:rFonts w:asciiTheme="minorHAnsi" w:hAnsiTheme="minorHAnsi"/>
          <w:sz w:val="22"/>
          <w:szCs w:val="22"/>
        </w:rPr>
        <w:t xml:space="preserve"> En algunos pocos casos, los autores</w:t>
      </w:r>
      <w:r w:rsidRPr="001A3152">
        <w:rPr>
          <w:rFonts w:asciiTheme="minorHAnsi" w:hAnsiTheme="minorHAnsi"/>
          <w:sz w:val="22"/>
          <w:szCs w:val="22"/>
        </w:rPr>
        <w:t xml:space="preserve"> obtuvieron información de fuentes secundarias: como diarios de circulación nacional o internacional, portales electrónicos y blogs.</w:t>
      </w:r>
    </w:p>
    <w:p w:rsidR="00661645" w:rsidRPr="001A3152" w:rsidRDefault="00661645" w:rsidP="002E3B39">
      <w:pPr>
        <w:spacing w:after="100" w:afterAutospacing="1"/>
        <w:contextualSpacing/>
        <w:jc w:val="both"/>
        <w:rPr>
          <w:rFonts w:asciiTheme="minorHAnsi" w:hAnsiTheme="minorHAnsi"/>
          <w:sz w:val="22"/>
          <w:szCs w:val="22"/>
        </w:rPr>
      </w:pPr>
    </w:p>
    <w:p w:rsidR="00661645" w:rsidRPr="001A3152" w:rsidRDefault="00661645" w:rsidP="00661645">
      <w:pPr>
        <w:spacing w:after="100" w:afterAutospacing="1"/>
        <w:contextualSpacing/>
        <w:jc w:val="both"/>
        <w:rPr>
          <w:rFonts w:asciiTheme="minorHAnsi" w:hAnsiTheme="minorHAnsi"/>
          <w:sz w:val="22"/>
          <w:szCs w:val="22"/>
        </w:rPr>
      </w:pPr>
      <w:r w:rsidRPr="001A3152">
        <w:rPr>
          <w:rFonts w:asciiTheme="minorHAnsi" w:hAnsiTheme="minorHAnsi"/>
          <w:sz w:val="22"/>
          <w:szCs w:val="22"/>
        </w:rPr>
        <w:t>Sin embargo, dejamos constancia de algunas dificultades para acceder a la información, como por ejemplo: los cambios constantes en la información entregada anualmente obliga a usar cifras provisionales, sujetas a revisión; la agregación de datos impide determinar con precisión las variables que influyen e</w:t>
      </w:r>
      <w:r w:rsidR="00C2484E" w:rsidRPr="001A3152">
        <w:rPr>
          <w:rFonts w:asciiTheme="minorHAnsi" w:hAnsiTheme="minorHAnsi"/>
          <w:sz w:val="22"/>
          <w:szCs w:val="22"/>
        </w:rPr>
        <w:t>n el giro de la empresa;</w:t>
      </w:r>
      <w:r w:rsidRPr="001A3152">
        <w:rPr>
          <w:rFonts w:asciiTheme="minorHAnsi" w:hAnsiTheme="minorHAnsi"/>
          <w:sz w:val="22"/>
          <w:szCs w:val="22"/>
        </w:rPr>
        <w:t xml:space="preserve"> la falta de regularidad temporal para presentar las cifras, obliga también a acudir a fuentes alternativas, como los informes de los auditores externos, que consideramos cifras oficiales, al ser publicados por el Ministerio (ver PODE años 1998, 2003, 2006-2007, 2009-2010 y 2015 y el informe de los auditores externos 2015).</w:t>
      </w:r>
    </w:p>
    <w:p w:rsidR="00661645" w:rsidRPr="001A3152" w:rsidRDefault="00661645" w:rsidP="00661645">
      <w:pPr>
        <w:spacing w:after="100" w:afterAutospacing="1"/>
        <w:contextualSpacing/>
        <w:jc w:val="both"/>
        <w:rPr>
          <w:rFonts w:asciiTheme="minorHAnsi" w:hAnsiTheme="minorHAnsi"/>
          <w:sz w:val="22"/>
          <w:szCs w:val="22"/>
        </w:rPr>
      </w:pPr>
    </w:p>
    <w:p w:rsidR="00661645" w:rsidRPr="001A3152" w:rsidRDefault="00661645" w:rsidP="00661645">
      <w:pPr>
        <w:spacing w:after="100" w:afterAutospacing="1"/>
        <w:contextualSpacing/>
        <w:jc w:val="both"/>
        <w:rPr>
          <w:rFonts w:asciiTheme="minorHAnsi" w:hAnsiTheme="minorHAnsi"/>
          <w:sz w:val="22"/>
          <w:szCs w:val="22"/>
        </w:rPr>
      </w:pPr>
      <w:r w:rsidRPr="001A3152">
        <w:rPr>
          <w:rFonts w:asciiTheme="minorHAnsi" w:hAnsiTheme="minorHAnsi"/>
          <w:sz w:val="22"/>
          <w:szCs w:val="22"/>
        </w:rPr>
        <w:t>En particular, analizar el giro comercial de Pdvsa es una tarea compleja, no sólo por el tamaño de la empresa sino también porque las cifras monetarias de los informes citados en este documento están dadas en bolívares a precios corrientes, a pesar de que el Banco Central de Venezuela info</w:t>
      </w:r>
      <w:r w:rsidR="00660EB3">
        <w:rPr>
          <w:rFonts w:asciiTheme="minorHAnsi" w:hAnsiTheme="minorHAnsi"/>
          <w:sz w:val="22"/>
          <w:szCs w:val="22"/>
        </w:rPr>
        <w:t>rma de un proceso inflacionario</w:t>
      </w:r>
      <w:r w:rsidRPr="001A3152">
        <w:rPr>
          <w:rFonts w:asciiTheme="minorHAnsi" w:hAnsiTheme="minorHAnsi"/>
          <w:sz w:val="22"/>
          <w:szCs w:val="22"/>
        </w:rPr>
        <w:t xml:space="preserve"> de niveles alarmantes en los últimos años (calificado ya de hiperinflacionario por algunos analistas). Por eso, el informe de los auditores externos para el ejercicio 2015 recurre a tasas promedios de cambio, sin indicar cuáles, y presenta las cuentas de Pdvsa en dólares USA, como moneda funcional de la empresa. Esta particularidad plantea un serio reto para el estudio del crecimiento de la empresa, puesto que las cifras a precios corrientes deben ser analizadas con mucho detenimiento.  </w:t>
      </w:r>
    </w:p>
    <w:p w:rsidR="00661645" w:rsidRPr="001A3152" w:rsidRDefault="00661645" w:rsidP="00661645">
      <w:pPr>
        <w:spacing w:after="100" w:afterAutospacing="1"/>
        <w:contextualSpacing/>
        <w:jc w:val="both"/>
        <w:rPr>
          <w:rFonts w:asciiTheme="minorHAnsi" w:hAnsiTheme="minorHAnsi"/>
          <w:sz w:val="22"/>
          <w:szCs w:val="22"/>
        </w:rPr>
      </w:pPr>
    </w:p>
    <w:p w:rsidR="00CD23DD" w:rsidRPr="00F20AAA" w:rsidRDefault="00661645" w:rsidP="00C54185">
      <w:pPr>
        <w:spacing w:after="100" w:afterAutospacing="1"/>
        <w:contextualSpacing/>
        <w:jc w:val="both"/>
        <w:rPr>
          <w:sz w:val="28"/>
          <w:szCs w:val="28"/>
        </w:rPr>
      </w:pPr>
      <w:r w:rsidRPr="001A3152">
        <w:rPr>
          <w:rFonts w:asciiTheme="minorHAnsi" w:hAnsiTheme="minorHAnsi"/>
          <w:sz w:val="22"/>
          <w:szCs w:val="22"/>
        </w:rPr>
        <w:t xml:space="preserve">En los tiempos recientes, el gobierno ha argumentado que las bajas tasas de crecimiento de la economía nacional y del </w:t>
      </w:r>
      <w:r w:rsidR="00996A71" w:rsidRPr="001A3152">
        <w:rPr>
          <w:rFonts w:asciiTheme="minorHAnsi" w:hAnsiTheme="minorHAnsi"/>
          <w:sz w:val="22"/>
          <w:szCs w:val="22"/>
        </w:rPr>
        <w:t xml:space="preserve">alto </w:t>
      </w:r>
      <w:r w:rsidRPr="001A3152">
        <w:rPr>
          <w:rFonts w:asciiTheme="minorHAnsi" w:hAnsiTheme="minorHAnsi"/>
          <w:sz w:val="22"/>
          <w:szCs w:val="22"/>
        </w:rPr>
        <w:t>endeudamiento del país y de Pdvsa son el resultado de la caída de los precios del petróleo, pero debemos llamar la atención sobre el hecho que los actuales niveles de precios son los segundos más altos de toda la historia petrolera venezolana. Además que, durante la primera década de los 2000, los precios del petróleo alcanzaron cotas nunca antes vista</w:t>
      </w:r>
      <w:r w:rsidR="00996A71" w:rsidRPr="001A3152">
        <w:rPr>
          <w:rFonts w:asciiTheme="minorHAnsi" w:hAnsiTheme="minorHAnsi"/>
          <w:sz w:val="22"/>
          <w:szCs w:val="22"/>
        </w:rPr>
        <w:t xml:space="preserve"> en el país</w:t>
      </w:r>
      <w:r w:rsidRPr="001A3152">
        <w:rPr>
          <w:rFonts w:asciiTheme="minorHAnsi" w:hAnsiTheme="minorHAnsi"/>
          <w:sz w:val="22"/>
          <w:szCs w:val="22"/>
        </w:rPr>
        <w:t>, ni en precios corrientes ni en precios cons</w:t>
      </w:r>
      <w:r w:rsidR="00415BCC" w:rsidRPr="001A3152">
        <w:rPr>
          <w:rFonts w:asciiTheme="minorHAnsi" w:hAnsiTheme="minorHAnsi"/>
          <w:sz w:val="22"/>
          <w:szCs w:val="22"/>
        </w:rPr>
        <w:t>tantes.</w:t>
      </w:r>
    </w:p>
    <w:sectPr w:rsidR="00CD23DD" w:rsidRPr="00F20AAA" w:rsidSect="00C703D8">
      <w:headerReference w:type="default" r:id="rId18"/>
      <w:head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EA" w:rsidRDefault="004A00EA" w:rsidP="00C703D8">
      <w:r>
        <w:separator/>
      </w:r>
    </w:p>
  </w:endnote>
  <w:endnote w:type="continuationSeparator" w:id="0">
    <w:p w:rsidR="004A00EA" w:rsidRDefault="004A00EA" w:rsidP="00C7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EA" w:rsidRDefault="004A00EA" w:rsidP="00C703D8">
      <w:r>
        <w:separator/>
      </w:r>
    </w:p>
  </w:footnote>
  <w:footnote w:type="continuationSeparator" w:id="0">
    <w:p w:rsidR="004A00EA" w:rsidRDefault="004A00EA" w:rsidP="00C7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0"/>
      </w:rPr>
      <w:id w:val="475036560"/>
      <w:docPartObj>
        <w:docPartGallery w:val="Page Numbers (Top of Page)"/>
        <w:docPartUnique/>
      </w:docPartObj>
    </w:sdtPr>
    <w:sdtEndPr/>
    <w:sdtContent>
      <w:p w:rsidR="00C364FD" w:rsidRPr="00A709F5" w:rsidRDefault="00C364FD" w:rsidP="00C46A11">
        <w:pPr>
          <w:ind w:left="2832" w:firstLine="708"/>
          <w:jc w:val="right"/>
          <w:rPr>
            <w:sz w:val="18"/>
            <w:szCs w:val="20"/>
          </w:rPr>
        </w:pPr>
        <w:r w:rsidRPr="00A709F5">
          <w:rPr>
            <w:sz w:val="18"/>
            <w:szCs w:val="20"/>
          </w:rPr>
          <w:tab/>
        </w:r>
        <w:r w:rsidRPr="00A709F5">
          <w:rPr>
            <w:sz w:val="18"/>
            <w:szCs w:val="20"/>
          </w:rPr>
          <w:tab/>
        </w:r>
        <w:r w:rsidRPr="00A709F5">
          <w:rPr>
            <w:sz w:val="18"/>
            <w:szCs w:val="20"/>
          </w:rPr>
          <w:fldChar w:fldCharType="begin"/>
        </w:r>
        <w:r w:rsidRPr="00A709F5">
          <w:rPr>
            <w:sz w:val="18"/>
            <w:szCs w:val="20"/>
          </w:rPr>
          <w:instrText>PAGE   \* MERGEFORMAT</w:instrText>
        </w:r>
        <w:r w:rsidRPr="00A709F5">
          <w:rPr>
            <w:sz w:val="18"/>
            <w:szCs w:val="20"/>
          </w:rPr>
          <w:fldChar w:fldCharType="separate"/>
        </w:r>
        <w:r w:rsidR="000E254A" w:rsidRPr="000E254A">
          <w:rPr>
            <w:noProof/>
            <w:sz w:val="18"/>
            <w:szCs w:val="20"/>
            <w:lang w:val="es-ES"/>
          </w:rPr>
          <w:t>3</w:t>
        </w:r>
        <w:r w:rsidRPr="00A709F5">
          <w:rPr>
            <w:sz w:val="18"/>
            <w:szCs w:val="20"/>
          </w:rPr>
          <w:fldChar w:fldCharType="end"/>
        </w:r>
      </w:p>
    </w:sdtContent>
  </w:sdt>
  <w:p w:rsidR="00C364FD" w:rsidRDefault="00C36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212012"/>
      <w:docPartObj>
        <w:docPartGallery w:val="Page Numbers (Top of Page)"/>
        <w:docPartUnique/>
      </w:docPartObj>
    </w:sdtPr>
    <w:sdtEndPr/>
    <w:sdtContent>
      <w:p w:rsidR="00C364FD" w:rsidRDefault="00C364FD">
        <w:pPr>
          <w:pStyle w:val="Header"/>
          <w:jc w:val="right"/>
        </w:pPr>
        <w:r>
          <w:fldChar w:fldCharType="begin"/>
        </w:r>
        <w:r>
          <w:instrText>PAGE   \* MERGEFORMAT</w:instrText>
        </w:r>
        <w:r>
          <w:fldChar w:fldCharType="separate"/>
        </w:r>
        <w:r w:rsidR="000E254A" w:rsidRPr="000E254A">
          <w:rPr>
            <w:noProof/>
            <w:lang w:val="es-ES"/>
          </w:rPr>
          <w:t>1</w:t>
        </w:r>
        <w:r>
          <w:fldChar w:fldCharType="end"/>
        </w:r>
      </w:p>
    </w:sdtContent>
  </w:sdt>
  <w:p w:rsidR="00C364FD" w:rsidRDefault="00C36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C6F67"/>
    <w:multiLevelType w:val="hybridMultilevel"/>
    <w:tmpl w:val="151E78D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423B0C91"/>
    <w:multiLevelType w:val="hybridMultilevel"/>
    <w:tmpl w:val="AC34E69A"/>
    <w:lvl w:ilvl="0" w:tplc="080A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5B1911F0"/>
    <w:multiLevelType w:val="hybridMultilevel"/>
    <w:tmpl w:val="C0F89C7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B4"/>
    <w:rsid w:val="000007AE"/>
    <w:rsid w:val="00001461"/>
    <w:rsid w:val="000125BA"/>
    <w:rsid w:val="00013C71"/>
    <w:rsid w:val="00025615"/>
    <w:rsid w:val="000259FF"/>
    <w:rsid w:val="000261D1"/>
    <w:rsid w:val="00033BC5"/>
    <w:rsid w:val="00033C6C"/>
    <w:rsid w:val="00044E8B"/>
    <w:rsid w:val="00045563"/>
    <w:rsid w:val="00051E9A"/>
    <w:rsid w:val="00060B2A"/>
    <w:rsid w:val="00061EA7"/>
    <w:rsid w:val="0006373B"/>
    <w:rsid w:val="00070F4A"/>
    <w:rsid w:val="000713BD"/>
    <w:rsid w:val="00080856"/>
    <w:rsid w:val="00082956"/>
    <w:rsid w:val="00085319"/>
    <w:rsid w:val="00085AA8"/>
    <w:rsid w:val="000A39DE"/>
    <w:rsid w:val="000A5191"/>
    <w:rsid w:val="000A5AE7"/>
    <w:rsid w:val="000A6393"/>
    <w:rsid w:val="000B1135"/>
    <w:rsid w:val="000B38C3"/>
    <w:rsid w:val="000C0299"/>
    <w:rsid w:val="000E00B8"/>
    <w:rsid w:val="000E020E"/>
    <w:rsid w:val="000E254A"/>
    <w:rsid w:val="000E3FCA"/>
    <w:rsid w:val="000E48B3"/>
    <w:rsid w:val="000E596F"/>
    <w:rsid w:val="000F192E"/>
    <w:rsid w:val="000F1E98"/>
    <w:rsid w:val="000F7A75"/>
    <w:rsid w:val="000F7AB3"/>
    <w:rsid w:val="0010109A"/>
    <w:rsid w:val="00101FC8"/>
    <w:rsid w:val="00111DE7"/>
    <w:rsid w:val="00112FB9"/>
    <w:rsid w:val="00116E4C"/>
    <w:rsid w:val="001369E6"/>
    <w:rsid w:val="00136B82"/>
    <w:rsid w:val="001441DB"/>
    <w:rsid w:val="00144D63"/>
    <w:rsid w:val="00152FDB"/>
    <w:rsid w:val="001629BE"/>
    <w:rsid w:val="00170C5C"/>
    <w:rsid w:val="0017691F"/>
    <w:rsid w:val="00177940"/>
    <w:rsid w:val="00185DE0"/>
    <w:rsid w:val="0019437E"/>
    <w:rsid w:val="001A3152"/>
    <w:rsid w:val="001A451C"/>
    <w:rsid w:val="001A4E70"/>
    <w:rsid w:val="001C0EDE"/>
    <w:rsid w:val="001C625F"/>
    <w:rsid w:val="001D24CD"/>
    <w:rsid w:val="001D2A88"/>
    <w:rsid w:val="001D3FE1"/>
    <w:rsid w:val="001D5E4E"/>
    <w:rsid w:val="001E2373"/>
    <w:rsid w:val="001E5659"/>
    <w:rsid w:val="001E69E2"/>
    <w:rsid w:val="001F3B0B"/>
    <w:rsid w:val="001F40B8"/>
    <w:rsid w:val="00201626"/>
    <w:rsid w:val="002047C8"/>
    <w:rsid w:val="00206C60"/>
    <w:rsid w:val="00206ECB"/>
    <w:rsid w:val="00215090"/>
    <w:rsid w:val="00215992"/>
    <w:rsid w:val="00232245"/>
    <w:rsid w:val="002417DA"/>
    <w:rsid w:val="002426E3"/>
    <w:rsid w:val="002431E6"/>
    <w:rsid w:val="00243CCB"/>
    <w:rsid w:val="002633A5"/>
    <w:rsid w:val="0028018F"/>
    <w:rsid w:val="00281227"/>
    <w:rsid w:val="002911ED"/>
    <w:rsid w:val="002A16B0"/>
    <w:rsid w:val="002A6019"/>
    <w:rsid w:val="002B1271"/>
    <w:rsid w:val="002B5BAA"/>
    <w:rsid w:val="002C45C2"/>
    <w:rsid w:val="002C4D6A"/>
    <w:rsid w:val="002D1FA8"/>
    <w:rsid w:val="002D3DB7"/>
    <w:rsid w:val="002D3E9F"/>
    <w:rsid w:val="002D4938"/>
    <w:rsid w:val="002D525B"/>
    <w:rsid w:val="002D6D42"/>
    <w:rsid w:val="002E2086"/>
    <w:rsid w:val="002E33B6"/>
    <w:rsid w:val="002E3B39"/>
    <w:rsid w:val="002F35D5"/>
    <w:rsid w:val="00305A52"/>
    <w:rsid w:val="00305D6A"/>
    <w:rsid w:val="003134B0"/>
    <w:rsid w:val="003136FF"/>
    <w:rsid w:val="00314C35"/>
    <w:rsid w:val="00320029"/>
    <w:rsid w:val="0032125E"/>
    <w:rsid w:val="0033342A"/>
    <w:rsid w:val="00334D12"/>
    <w:rsid w:val="00336367"/>
    <w:rsid w:val="00340980"/>
    <w:rsid w:val="00342658"/>
    <w:rsid w:val="0034687B"/>
    <w:rsid w:val="00351456"/>
    <w:rsid w:val="00356D4E"/>
    <w:rsid w:val="0035721E"/>
    <w:rsid w:val="00370DA6"/>
    <w:rsid w:val="00375840"/>
    <w:rsid w:val="003764A3"/>
    <w:rsid w:val="0038193B"/>
    <w:rsid w:val="00381F80"/>
    <w:rsid w:val="00383BD8"/>
    <w:rsid w:val="0038420F"/>
    <w:rsid w:val="00385553"/>
    <w:rsid w:val="00386731"/>
    <w:rsid w:val="003903C6"/>
    <w:rsid w:val="00392F58"/>
    <w:rsid w:val="003B0F92"/>
    <w:rsid w:val="003B172D"/>
    <w:rsid w:val="003C2A43"/>
    <w:rsid w:val="003C2F5F"/>
    <w:rsid w:val="003C3DDC"/>
    <w:rsid w:val="003C4B3B"/>
    <w:rsid w:val="003D0012"/>
    <w:rsid w:val="003D0E90"/>
    <w:rsid w:val="003D2A68"/>
    <w:rsid w:val="003D4754"/>
    <w:rsid w:val="003D6186"/>
    <w:rsid w:val="003D765B"/>
    <w:rsid w:val="003D7E0E"/>
    <w:rsid w:val="003E366E"/>
    <w:rsid w:val="003E72A7"/>
    <w:rsid w:val="00401B0F"/>
    <w:rsid w:val="004031CA"/>
    <w:rsid w:val="00411F95"/>
    <w:rsid w:val="00415BCC"/>
    <w:rsid w:val="004165DA"/>
    <w:rsid w:val="004179FD"/>
    <w:rsid w:val="00422506"/>
    <w:rsid w:val="00424D84"/>
    <w:rsid w:val="00425E50"/>
    <w:rsid w:val="00434BE7"/>
    <w:rsid w:val="004371FE"/>
    <w:rsid w:val="00446CCA"/>
    <w:rsid w:val="00447231"/>
    <w:rsid w:val="00455B8A"/>
    <w:rsid w:val="00462200"/>
    <w:rsid w:val="00464F02"/>
    <w:rsid w:val="00465814"/>
    <w:rsid w:val="004676D2"/>
    <w:rsid w:val="00475790"/>
    <w:rsid w:val="00476E9F"/>
    <w:rsid w:val="00481965"/>
    <w:rsid w:val="00494460"/>
    <w:rsid w:val="0049473D"/>
    <w:rsid w:val="00495155"/>
    <w:rsid w:val="004A00EA"/>
    <w:rsid w:val="004A2D8A"/>
    <w:rsid w:val="004B198E"/>
    <w:rsid w:val="004C70A8"/>
    <w:rsid w:val="004D3452"/>
    <w:rsid w:val="004D4BD5"/>
    <w:rsid w:val="004D79BD"/>
    <w:rsid w:val="004E4BEA"/>
    <w:rsid w:val="004E5AE9"/>
    <w:rsid w:val="004E68C7"/>
    <w:rsid w:val="004F0C84"/>
    <w:rsid w:val="004F0EFE"/>
    <w:rsid w:val="004F7279"/>
    <w:rsid w:val="005013D9"/>
    <w:rsid w:val="00502789"/>
    <w:rsid w:val="005071CC"/>
    <w:rsid w:val="00515A4C"/>
    <w:rsid w:val="005171C0"/>
    <w:rsid w:val="00520540"/>
    <w:rsid w:val="00522F37"/>
    <w:rsid w:val="00531235"/>
    <w:rsid w:val="0053283F"/>
    <w:rsid w:val="005513D4"/>
    <w:rsid w:val="00556678"/>
    <w:rsid w:val="00560AB0"/>
    <w:rsid w:val="00563910"/>
    <w:rsid w:val="00563A06"/>
    <w:rsid w:val="00563B84"/>
    <w:rsid w:val="0056456C"/>
    <w:rsid w:val="0056728B"/>
    <w:rsid w:val="00570EA3"/>
    <w:rsid w:val="00583CD5"/>
    <w:rsid w:val="00584E19"/>
    <w:rsid w:val="00587E2D"/>
    <w:rsid w:val="00596883"/>
    <w:rsid w:val="005A4C13"/>
    <w:rsid w:val="005A5C85"/>
    <w:rsid w:val="005B256C"/>
    <w:rsid w:val="005B3164"/>
    <w:rsid w:val="005B4BC7"/>
    <w:rsid w:val="005B785A"/>
    <w:rsid w:val="005C3F40"/>
    <w:rsid w:val="005C7150"/>
    <w:rsid w:val="005D45C0"/>
    <w:rsid w:val="005D617E"/>
    <w:rsid w:val="005D6F97"/>
    <w:rsid w:val="005E0EB9"/>
    <w:rsid w:val="005E2B8D"/>
    <w:rsid w:val="005E3668"/>
    <w:rsid w:val="005F6622"/>
    <w:rsid w:val="006049AF"/>
    <w:rsid w:val="00604CE0"/>
    <w:rsid w:val="00606FDA"/>
    <w:rsid w:val="00607C4C"/>
    <w:rsid w:val="006124A7"/>
    <w:rsid w:val="006164DC"/>
    <w:rsid w:val="00616B89"/>
    <w:rsid w:val="00623DE1"/>
    <w:rsid w:val="006262A9"/>
    <w:rsid w:val="006335F1"/>
    <w:rsid w:val="006421F2"/>
    <w:rsid w:val="00646BA6"/>
    <w:rsid w:val="00646DBD"/>
    <w:rsid w:val="006524FF"/>
    <w:rsid w:val="0065373D"/>
    <w:rsid w:val="00654FC0"/>
    <w:rsid w:val="00660EB3"/>
    <w:rsid w:val="00661645"/>
    <w:rsid w:val="006767D6"/>
    <w:rsid w:val="00681996"/>
    <w:rsid w:val="00686BEB"/>
    <w:rsid w:val="0068778A"/>
    <w:rsid w:val="00687BE3"/>
    <w:rsid w:val="00690BAE"/>
    <w:rsid w:val="006A6F30"/>
    <w:rsid w:val="006B39C0"/>
    <w:rsid w:val="006B76A4"/>
    <w:rsid w:val="006C31CA"/>
    <w:rsid w:val="006D1A1D"/>
    <w:rsid w:val="006D3774"/>
    <w:rsid w:val="006D44CA"/>
    <w:rsid w:val="006D4BE4"/>
    <w:rsid w:val="006D4D5D"/>
    <w:rsid w:val="006D6518"/>
    <w:rsid w:val="006E16F2"/>
    <w:rsid w:val="006E18AB"/>
    <w:rsid w:val="006E77BD"/>
    <w:rsid w:val="006F292B"/>
    <w:rsid w:val="006F74EB"/>
    <w:rsid w:val="007049C4"/>
    <w:rsid w:val="007067A6"/>
    <w:rsid w:val="00707337"/>
    <w:rsid w:val="007113BC"/>
    <w:rsid w:val="00714BD8"/>
    <w:rsid w:val="00717AD0"/>
    <w:rsid w:val="007206F0"/>
    <w:rsid w:val="00721AD9"/>
    <w:rsid w:val="00722A63"/>
    <w:rsid w:val="007370EF"/>
    <w:rsid w:val="007400D4"/>
    <w:rsid w:val="00741E76"/>
    <w:rsid w:val="007464D4"/>
    <w:rsid w:val="00747966"/>
    <w:rsid w:val="00756D99"/>
    <w:rsid w:val="0075773C"/>
    <w:rsid w:val="00763471"/>
    <w:rsid w:val="00763D33"/>
    <w:rsid w:val="00764C2C"/>
    <w:rsid w:val="007651B2"/>
    <w:rsid w:val="00772ACD"/>
    <w:rsid w:val="00773434"/>
    <w:rsid w:val="00774303"/>
    <w:rsid w:val="007807E3"/>
    <w:rsid w:val="007830B9"/>
    <w:rsid w:val="00784641"/>
    <w:rsid w:val="00793BF7"/>
    <w:rsid w:val="007942F8"/>
    <w:rsid w:val="0079499D"/>
    <w:rsid w:val="007A2C0B"/>
    <w:rsid w:val="007A453E"/>
    <w:rsid w:val="007B45E3"/>
    <w:rsid w:val="007B4EA7"/>
    <w:rsid w:val="007B6AF1"/>
    <w:rsid w:val="007B73EA"/>
    <w:rsid w:val="007B7503"/>
    <w:rsid w:val="007C0252"/>
    <w:rsid w:val="007C044F"/>
    <w:rsid w:val="007C2511"/>
    <w:rsid w:val="007D135B"/>
    <w:rsid w:val="007D42F1"/>
    <w:rsid w:val="007D7315"/>
    <w:rsid w:val="007D79F7"/>
    <w:rsid w:val="008010D1"/>
    <w:rsid w:val="0080343B"/>
    <w:rsid w:val="00807AD5"/>
    <w:rsid w:val="008171C7"/>
    <w:rsid w:val="00824815"/>
    <w:rsid w:val="008252D7"/>
    <w:rsid w:val="008314ED"/>
    <w:rsid w:val="008341D4"/>
    <w:rsid w:val="00837232"/>
    <w:rsid w:val="00840EDB"/>
    <w:rsid w:val="00842FE9"/>
    <w:rsid w:val="0084404A"/>
    <w:rsid w:val="0084421C"/>
    <w:rsid w:val="00862AE5"/>
    <w:rsid w:val="00862C97"/>
    <w:rsid w:val="008660EF"/>
    <w:rsid w:val="008670C1"/>
    <w:rsid w:val="00872E76"/>
    <w:rsid w:val="00875115"/>
    <w:rsid w:val="008837AD"/>
    <w:rsid w:val="00886713"/>
    <w:rsid w:val="00890C4E"/>
    <w:rsid w:val="00893E34"/>
    <w:rsid w:val="00895B2D"/>
    <w:rsid w:val="008B3201"/>
    <w:rsid w:val="008B6096"/>
    <w:rsid w:val="008C317D"/>
    <w:rsid w:val="008C3704"/>
    <w:rsid w:val="008C6266"/>
    <w:rsid w:val="008C62E7"/>
    <w:rsid w:val="008C7711"/>
    <w:rsid w:val="008D138F"/>
    <w:rsid w:val="008E2CBB"/>
    <w:rsid w:val="008F05CF"/>
    <w:rsid w:val="00905861"/>
    <w:rsid w:val="00907CD2"/>
    <w:rsid w:val="00912240"/>
    <w:rsid w:val="009217A4"/>
    <w:rsid w:val="00923700"/>
    <w:rsid w:val="009354D3"/>
    <w:rsid w:val="009361D9"/>
    <w:rsid w:val="00942A0A"/>
    <w:rsid w:val="0094470F"/>
    <w:rsid w:val="0094501D"/>
    <w:rsid w:val="00953AE8"/>
    <w:rsid w:val="00960DB3"/>
    <w:rsid w:val="009639F3"/>
    <w:rsid w:val="009716D9"/>
    <w:rsid w:val="00973FD9"/>
    <w:rsid w:val="00975B21"/>
    <w:rsid w:val="0097668C"/>
    <w:rsid w:val="00977014"/>
    <w:rsid w:val="0098007F"/>
    <w:rsid w:val="00981245"/>
    <w:rsid w:val="00993DDF"/>
    <w:rsid w:val="009948DA"/>
    <w:rsid w:val="009958B5"/>
    <w:rsid w:val="00996A71"/>
    <w:rsid w:val="009A0266"/>
    <w:rsid w:val="009A55BE"/>
    <w:rsid w:val="009A62D1"/>
    <w:rsid w:val="009A798A"/>
    <w:rsid w:val="009A7E17"/>
    <w:rsid w:val="009B600A"/>
    <w:rsid w:val="009B6707"/>
    <w:rsid w:val="009B7494"/>
    <w:rsid w:val="009C21A8"/>
    <w:rsid w:val="009C51C6"/>
    <w:rsid w:val="009C7BFD"/>
    <w:rsid w:val="009D4777"/>
    <w:rsid w:val="009D4EB4"/>
    <w:rsid w:val="009E37D6"/>
    <w:rsid w:val="009E45A4"/>
    <w:rsid w:val="009F38E1"/>
    <w:rsid w:val="009F656F"/>
    <w:rsid w:val="00A05759"/>
    <w:rsid w:val="00A103EF"/>
    <w:rsid w:val="00A1145E"/>
    <w:rsid w:val="00A11823"/>
    <w:rsid w:val="00A17246"/>
    <w:rsid w:val="00A176BF"/>
    <w:rsid w:val="00A177C2"/>
    <w:rsid w:val="00A314B8"/>
    <w:rsid w:val="00A36A21"/>
    <w:rsid w:val="00A40D34"/>
    <w:rsid w:val="00A41A94"/>
    <w:rsid w:val="00A43FE0"/>
    <w:rsid w:val="00A57051"/>
    <w:rsid w:val="00A70128"/>
    <w:rsid w:val="00A709F5"/>
    <w:rsid w:val="00A7713E"/>
    <w:rsid w:val="00A90734"/>
    <w:rsid w:val="00A93C0D"/>
    <w:rsid w:val="00AA286E"/>
    <w:rsid w:val="00AA378D"/>
    <w:rsid w:val="00AA4B28"/>
    <w:rsid w:val="00AB6BAB"/>
    <w:rsid w:val="00AB7041"/>
    <w:rsid w:val="00AB7825"/>
    <w:rsid w:val="00AC25CF"/>
    <w:rsid w:val="00AC3B33"/>
    <w:rsid w:val="00AC7226"/>
    <w:rsid w:val="00AD7260"/>
    <w:rsid w:val="00AE34F6"/>
    <w:rsid w:val="00AE35FB"/>
    <w:rsid w:val="00AE4B97"/>
    <w:rsid w:val="00AE62D8"/>
    <w:rsid w:val="00AF0459"/>
    <w:rsid w:val="00AF4F62"/>
    <w:rsid w:val="00AF5DB2"/>
    <w:rsid w:val="00AF7A1D"/>
    <w:rsid w:val="00B00A33"/>
    <w:rsid w:val="00B00EAB"/>
    <w:rsid w:val="00B0197B"/>
    <w:rsid w:val="00B0429F"/>
    <w:rsid w:val="00B06D54"/>
    <w:rsid w:val="00B11A8C"/>
    <w:rsid w:val="00B1416F"/>
    <w:rsid w:val="00B213D4"/>
    <w:rsid w:val="00B21B0A"/>
    <w:rsid w:val="00B25897"/>
    <w:rsid w:val="00B30EF8"/>
    <w:rsid w:val="00B312FA"/>
    <w:rsid w:val="00B32043"/>
    <w:rsid w:val="00B323B3"/>
    <w:rsid w:val="00B3526F"/>
    <w:rsid w:val="00B353AD"/>
    <w:rsid w:val="00B40BBE"/>
    <w:rsid w:val="00B45F33"/>
    <w:rsid w:val="00B45F5B"/>
    <w:rsid w:val="00B45FB0"/>
    <w:rsid w:val="00B60FF1"/>
    <w:rsid w:val="00B62D26"/>
    <w:rsid w:val="00B65F87"/>
    <w:rsid w:val="00B66EFE"/>
    <w:rsid w:val="00B74B9F"/>
    <w:rsid w:val="00B75D8F"/>
    <w:rsid w:val="00B813A2"/>
    <w:rsid w:val="00B903D2"/>
    <w:rsid w:val="00B916B0"/>
    <w:rsid w:val="00B916D7"/>
    <w:rsid w:val="00B9175B"/>
    <w:rsid w:val="00B93E43"/>
    <w:rsid w:val="00B9481D"/>
    <w:rsid w:val="00B94E09"/>
    <w:rsid w:val="00BA1160"/>
    <w:rsid w:val="00BA242C"/>
    <w:rsid w:val="00BA4983"/>
    <w:rsid w:val="00BB0A15"/>
    <w:rsid w:val="00BC11CC"/>
    <w:rsid w:val="00BC1BC2"/>
    <w:rsid w:val="00BC4C33"/>
    <w:rsid w:val="00BD1793"/>
    <w:rsid w:val="00BD2C93"/>
    <w:rsid w:val="00BF0209"/>
    <w:rsid w:val="00C1097D"/>
    <w:rsid w:val="00C1302D"/>
    <w:rsid w:val="00C13D69"/>
    <w:rsid w:val="00C15E82"/>
    <w:rsid w:val="00C173B5"/>
    <w:rsid w:val="00C174C2"/>
    <w:rsid w:val="00C2086B"/>
    <w:rsid w:val="00C2238B"/>
    <w:rsid w:val="00C23B8A"/>
    <w:rsid w:val="00C2484E"/>
    <w:rsid w:val="00C310F5"/>
    <w:rsid w:val="00C34BB1"/>
    <w:rsid w:val="00C364FD"/>
    <w:rsid w:val="00C4273D"/>
    <w:rsid w:val="00C45971"/>
    <w:rsid w:val="00C46A11"/>
    <w:rsid w:val="00C50147"/>
    <w:rsid w:val="00C52965"/>
    <w:rsid w:val="00C54185"/>
    <w:rsid w:val="00C70145"/>
    <w:rsid w:val="00C703D8"/>
    <w:rsid w:val="00C72F0A"/>
    <w:rsid w:val="00C81FAB"/>
    <w:rsid w:val="00C83C6F"/>
    <w:rsid w:val="00C83D3D"/>
    <w:rsid w:val="00C859C8"/>
    <w:rsid w:val="00C87216"/>
    <w:rsid w:val="00C926D0"/>
    <w:rsid w:val="00C950EB"/>
    <w:rsid w:val="00CA435C"/>
    <w:rsid w:val="00CB5769"/>
    <w:rsid w:val="00CB5A85"/>
    <w:rsid w:val="00CC02E2"/>
    <w:rsid w:val="00CC456D"/>
    <w:rsid w:val="00CC7DC7"/>
    <w:rsid w:val="00CD1B12"/>
    <w:rsid w:val="00CD1C45"/>
    <w:rsid w:val="00CD23DD"/>
    <w:rsid w:val="00CD488B"/>
    <w:rsid w:val="00CE2C03"/>
    <w:rsid w:val="00CE6B21"/>
    <w:rsid w:val="00CF4D76"/>
    <w:rsid w:val="00D02EAB"/>
    <w:rsid w:val="00D0409A"/>
    <w:rsid w:val="00D05284"/>
    <w:rsid w:val="00D1316C"/>
    <w:rsid w:val="00D23587"/>
    <w:rsid w:val="00D23F77"/>
    <w:rsid w:val="00D33707"/>
    <w:rsid w:val="00D34355"/>
    <w:rsid w:val="00D43CDF"/>
    <w:rsid w:val="00D503D4"/>
    <w:rsid w:val="00D56263"/>
    <w:rsid w:val="00D61E87"/>
    <w:rsid w:val="00D62BA9"/>
    <w:rsid w:val="00D63C3C"/>
    <w:rsid w:val="00D71A83"/>
    <w:rsid w:val="00D72C3D"/>
    <w:rsid w:val="00D92E80"/>
    <w:rsid w:val="00D93E3B"/>
    <w:rsid w:val="00D95CFA"/>
    <w:rsid w:val="00D9733D"/>
    <w:rsid w:val="00DA018E"/>
    <w:rsid w:val="00DA6F37"/>
    <w:rsid w:val="00DC22E8"/>
    <w:rsid w:val="00DC26AA"/>
    <w:rsid w:val="00DC29FB"/>
    <w:rsid w:val="00DC432B"/>
    <w:rsid w:val="00DC5A83"/>
    <w:rsid w:val="00DD1E09"/>
    <w:rsid w:val="00DD367D"/>
    <w:rsid w:val="00DF097B"/>
    <w:rsid w:val="00DF0EFB"/>
    <w:rsid w:val="00DF0F38"/>
    <w:rsid w:val="00DF4CD0"/>
    <w:rsid w:val="00DF6831"/>
    <w:rsid w:val="00E010A7"/>
    <w:rsid w:val="00E12CF4"/>
    <w:rsid w:val="00E15F44"/>
    <w:rsid w:val="00E1628C"/>
    <w:rsid w:val="00E170FA"/>
    <w:rsid w:val="00E20E17"/>
    <w:rsid w:val="00E2104A"/>
    <w:rsid w:val="00E31320"/>
    <w:rsid w:val="00E338E1"/>
    <w:rsid w:val="00E50BD3"/>
    <w:rsid w:val="00E5418C"/>
    <w:rsid w:val="00E54912"/>
    <w:rsid w:val="00E55E8B"/>
    <w:rsid w:val="00E57186"/>
    <w:rsid w:val="00E57971"/>
    <w:rsid w:val="00E57DBD"/>
    <w:rsid w:val="00E656CA"/>
    <w:rsid w:val="00E7080A"/>
    <w:rsid w:val="00E72256"/>
    <w:rsid w:val="00E724A5"/>
    <w:rsid w:val="00E72F22"/>
    <w:rsid w:val="00E75C9F"/>
    <w:rsid w:val="00E772D3"/>
    <w:rsid w:val="00E82424"/>
    <w:rsid w:val="00E83B4E"/>
    <w:rsid w:val="00E87734"/>
    <w:rsid w:val="00EA233C"/>
    <w:rsid w:val="00EA5CA9"/>
    <w:rsid w:val="00EA728D"/>
    <w:rsid w:val="00EB1FF1"/>
    <w:rsid w:val="00EB6FC1"/>
    <w:rsid w:val="00EB727E"/>
    <w:rsid w:val="00EC4064"/>
    <w:rsid w:val="00EC4671"/>
    <w:rsid w:val="00EC4ED0"/>
    <w:rsid w:val="00ED251E"/>
    <w:rsid w:val="00ED3847"/>
    <w:rsid w:val="00ED5C18"/>
    <w:rsid w:val="00EE25B0"/>
    <w:rsid w:val="00EE40A1"/>
    <w:rsid w:val="00EE7A84"/>
    <w:rsid w:val="00EF072C"/>
    <w:rsid w:val="00EF74F9"/>
    <w:rsid w:val="00F07082"/>
    <w:rsid w:val="00F0758A"/>
    <w:rsid w:val="00F10B09"/>
    <w:rsid w:val="00F1564F"/>
    <w:rsid w:val="00F15DE0"/>
    <w:rsid w:val="00F20AAA"/>
    <w:rsid w:val="00F21768"/>
    <w:rsid w:val="00F3268B"/>
    <w:rsid w:val="00F51200"/>
    <w:rsid w:val="00F51553"/>
    <w:rsid w:val="00F57DD3"/>
    <w:rsid w:val="00F61A65"/>
    <w:rsid w:val="00F6666A"/>
    <w:rsid w:val="00F70D54"/>
    <w:rsid w:val="00F83A4E"/>
    <w:rsid w:val="00F83F17"/>
    <w:rsid w:val="00F8492B"/>
    <w:rsid w:val="00F907CC"/>
    <w:rsid w:val="00F931E5"/>
    <w:rsid w:val="00F97629"/>
    <w:rsid w:val="00FA0339"/>
    <w:rsid w:val="00FA241E"/>
    <w:rsid w:val="00FA6468"/>
    <w:rsid w:val="00FB396F"/>
    <w:rsid w:val="00FB4F69"/>
    <w:rsid w:val="00FD34CB"/>
    <w:rsid w:val="00FE0CCD"/>
    <w:rsid w:val="00FE6FDC"/>
    <w:rsid w:val="00FF2477"/>
    <w:rsid w:val="00FF5E3F"/>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082EBB-3E16-43DE-92BC-43306A17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56CA"/>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3D8"/>
    <w:pPr>
      <w:tabs>
        <w:tab w:val="center" w:pos="4419"/>
        <w:tab w:val="right" w:pos="8838"/>
      </w:tabs>
    </w:pPr>
  </w:style>
  <w:style w:type="character" w:customStyle="1" w:styleId="HeaderChar">
    <w:name w:val="Header Char"/>
    <w:basedOn w:val="DefaultParagraphFont"/>
    <w:link w:val="Header"/>
    <w:uiPriority w:val="99"/>
    <w:rsid w:val="00C703D8"/>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C703D8"/>
    <w:pPr>
      <w:tabs>
        <w:tab w:val="center" w:pos="4419"/>
        <w:tab w:val="right" w:pos="8838"/>
      </w:tabs>
    </w:pPr>
  </w:style>
  <w:style w:type="character" w:customStyle="1" w:styleId="FooterChar">
    <w:name w:val="Footer Char"/>
    <w:basedOn w:val="DefaultParagraphFont"/>
    <w:link w:val="Footer"/>
    <w:uiPriority w:val="99"/>
    <w:rsid w:val="00C703D8"/>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E772D3"/>
    <w:rPr>
      <w:color w:val="0000FF" w:themeColor="hyperlink"/>
      <w:u w:val="single"/>
    </w:rPr>
  </w:style>
  <w:style w:type="paragraph" w:styleId="EndnoteText">
    <w:name w:val="endnote text"/>
    <w:basedOn w:val="Normal"/>
    <w:link w:val="EndnoteTextChar"/>
    <w:uiPriority w:val="99"/>
    <w:unhideWhenUsed/>
    <w:rsid w:val="00772ACD"/>
    <w:rPr>
      <w:sz w:val="20"/>
      <w:szCs w:val="20"/>
    </w:rPr>
  </w:style>
  <w:style w:type="character" w:customStyle="1" w:styleId="EndnoteTextChar">
    <w:name w:val="Endnote Text Char"/>
    <w:basedOn w:val="DefaultParagraphFont"/>
    <w:link w:val="EndnoteText"/>
    <w:uiPriority w:val="99"/>
    <w:rsid w:val="00772ACD"/>
    <w:rPr>
      <w:rFonts w:ascii="Times New Roman" w:eastAsia="Times New Roman" w:hAnsi="Times New Roman" w:cs="Times New Roman"/>
      <w:sz w:val="20"/>
      <w:szCs w:val="20"/>
      <w:lang w:eastAsia="es-ES"/>
    </w:rPr>
  </w:style>
  <w:style w:type="character" w:styleId="EndnoteReference">
    <w:name w:val="endnote reference"/>
    <w:basedOn w:val="DefaultParagraphFont"/>
    <w:uiPriority w:val="99"/>
    <w:semiHidden/>
    <w:unhideWhenUsed/>
    <w:rsid w:val="00772ACD"/>
    <w:rPr>
      <w:vertAlign w:val="superscript"/>
    </w:rPr>
  </w:style>
  <w:style w:type="paragraph" w:styleId="ListParagraph">
    <w:name w:val="List Paragraph"/>
    <w:basedOn w:val="Normal"/>
    <w:uiPriority w:val="34"/>
    <w:qFormat/>
    <w:rsid w:val="00953AE8"/>
    <w:pPr>
      <w:ind w:left="720"/>
      <w:contextualSpacing/>
    </w:pPr>
  </w:style>
  <w:style w:type="character" w:styleId="FollowedHyperlink">
    <w:name w:val="FollowedHyperlink"/>
    <w:basedOn w:val="DefaultParagraphFont"/>
    <w:uiPriority w:val="99"/>
    <w:semiHidden/>
    <w:unhideWhenUsed/>
    <w:rsid w:val="00AA378D"/>
    <w:rPr>
      <w:color w:val="800080" w:themeColor="followedHyperlink"/>
      <w:u w:val="single"/>
    </w:rPr>
  </w:style>
  <w:style w:type="paragraph" w:styleId="NormalWeb">
    <w:name w:val="Normal (Web)"/>
    <w:basedOn w:val="Normal"/>
    <w:uiPriority w:val="99"/>
    <w:unhideWhenUsed/>
    <w:rsid w:val="004A2D8A"/>
    <w:pPr>
      <w:spacing w:after="150"/>
    </w:pPr>
    <w:rPr>
      <w:lang w:eastAsia="es-VE"/>
    </w:rPr>
  </w:style>
  <w:style w:type="paragraph" w:styleId="Subtitle">
    <w:name w:val="Subtitle"/>
    <w:basedOn w:val="Normal"/>
    <w:next w:val="Normal"/>
    <w:link w:val="SubtitleChar"/>
    <w:uiPriority w:val="11"/>
    <w:qFormat/>
    <w:rsid w:val="00AE6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E62D8"/>
    <w:rPr>
      <w:rFonts w:asciiTheme="majorHAnsi" w:eastAsiaTheme="majorEastAsia" w:hAnsiTheme="majorHAnsi" w:cstheme="majorBidi"/>
      <w:i/>
      <w:iCs/>
      <w:color w:val="4F81BD" w:themeColor="accent1"/>
      <w:spacing w:val="15"/>
      <w:sz w:val="24"/>
      <w:szCs w:val="24"/>
      <w:lang w:eastAsia="es-ES"/>
    </w:rPr>
  </w:style>
  <w:style w:type="paragraph" w:styleId="BalloonText">
    <w:name w:val="Balloon Text"/>
    <w:basedOn w:val="Normal"/>
    <w:link w:val="BalloonTextChar"/>
    <w:uiPriority w:val="99"/>
    <w:semiHidden/>
    <w:unhideWhenUsed/>
    <w:rsid w:val="00CD2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3DD"/>
    <w:rPr>
      <w:rFonts w:ascii="Lucida Grande" w:eastAsia="Times New Roman" w:hAnsi="Lucida Grande" w:cs="Lucida Grande"/>
      <w:sz w:val="18"/>
      <w:szCs w:val="18"/>
      <w:lang w:eastAsia="es-ES"/>
    </w:rPr>
  </w:style>
  <w:style w:type="character" w:styleId="CommentReference">
    <w:name w:val="annotation reference"/>
    <w:basedOn w:val="DefaultParagraphFont"/>
    <w:uiPriority w:val="99"/>
    <w:semiHidden/>
    <w:unhideWhenUsed/>
    <w:rsid w:val="00B06D54"/>
    <w:rPr>
      <w:sz w:val="16"/>
      <w:szCs w:val="16"/>
    </w:rPr>
  </w:style>
  <w:style w:type="paragraph" w:styleId="CommentText">
    <w:name w:val="annotation text"/>
    <w:basedOn w:val="Normal"/>
    <w:link w:val="CommentTextChar"/>
    <w:uiPriority w:val="99"/>
    <w:unhideWhenUsed/>
    <w:rsid w:val="00B06D54"/>
    <w:rPr>
      <w:sz w:val="20"/>
      <w:szCs w:val="20"/>
    </w:rPr>
  </w:style>
  <w:style w:type="character" w:customStyle="1" w:styleId="CommentTextChar">
    <w:name w:val="Comment Text Char"/>
    <w:basedOn w:val="DefaultParagraphFont"/>
    <w:link w:val="CommentText"/>
    <w:uiPriority w:val="99"/>
    <w:rsid w:val="00B06D54"/>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B06D54"/>
    <w:rPr>
      <w:b/>
      <w:bCs/>
    </w:rPr>
  </w:style>
  <w:style w:type="character" w:customStyle="1" w:styleId="CommentSubjectChar">
    <w:name w:val="Comment Subject Char"/>
    <w:basedOn w:val="CommentTextChar"/>
    <w:link w:val="CommentSubject"/>
    <w:uiPriority w:val="99"/>
    <w:semiHidden/>
    <w:rsid w:val="00B06D54"/>
    <w:rPr>
      <w:rFonts w:ascii="Times New Roman" w:eastAsia="Times New Roman" w:hAnsi="Times New Roman" w:cs="Times New Roman"/>
      <w:b/>
      <w:bCs/>
      <w:sz w:val="20"/>
      <w:szCs w:val="20"/>
      <w:lang w:eastAsia="es-ES"/>
    </w:rPr>
  </w:style>
  <w:style w:type="character" w:customStyle="1" w:styleId="Mention1">
    <w:name w:val="Mention1"/>
    <w:basedOn w:val="DefaultParagraphFont"/>
    <w:uiPriority w:val="99"/>
    <w:semiHidden/>
    <w:unhideWhenUsed/>
    <w:rsid w:val="00BC4C33"/>
    <w:rPr>
      <w:color w:val="2B579A"/>
      <w:shd w:val="clear" w:color="auto" w:fill="E6E6E6"/>
    </w:rPr>
  </w:style>
  <w:style w:type="table" w:styleId="GridTable5Dark-Accent1">
    <w:name w:val="Grid Table 5 Dark Accent 1"/>
    <w:basedOn w:val="TableNormal"/>
    <w:uiPriority w:val="50"/>
    <w:rsid w:val="000E25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67388">
      <w:bodyDiv w:val="1"/>
      <w:marLeft w:val="0"/>
      <w:marRight w:val="0"/>
      <w:marTop w:val="0"/>
      <w:marBottom w:val="0"/>
      <w:divBdr>
        <w:top w:val="none" w:sz="0" w:space="0" w:color="auto"/>
        <w:left w:val="none" w:sz="0" w:space="0" w:color="auto"/>
        <w:bottom w:val="none" w:sz="0" w:space="0" w:color="auto"/>
        <w:right w:val="none" w:sz="0" w:space="0" w:color="auto"/>
      </w:divBdr>
      <w:divsChild>
        <w:div w:id="124278806">
          <w:marLeft w:val="0"/>
          <w:marRight w:val="0"/>
          <w:marTop w:val="0"/>
          <w:marBottom w:val="0"/>
          <w:divBdr>
            <w:top w:val="none" w:sz="0" w:space="0" w:color="auto"/>
            <w:left w:val="none" w:sz="0" w:space="0" w:color="auto"/>
            <w:bottom w:val="none" w:sz="0" w:space="0" w:color="auto"/>
            <w:right w:val="none" w:sz="0" w:space="0" w:color="auto"/>
          </w:divBdr>
          <w:divsChild>
            <w:div w:id="239947164">
              <w:marLeft w:val="-225"/>
              <w:marRight w:val="-225"/>
              <w:marTop w:val="0"/>
              <w:marBottom w:val="0"/>
              <w:divBdr>
                <w:top w:val="none" w:sz="0" w:space="0" w:color="auto"/>
                <w:left w:val="none" w:sz="0" w:space="0" w:color="auto"/>
                <w:bottom w:val="none" w:sz="0" w:space="0" w:color="auto"/>
                <w:right w:val="none" w:sz="0" w:space="0" w:color="auto"/>
              </w:divBdr>
              <w:divsChild>
                <w:div w:id="1790590554">
                  <w:marLeft w:val="0"/>
                  <w:marRight w:val="0"/>
                  <w:marTop w:val="0"/>
                  <w:marBottom w:val="0"/>
                  <w:divBdr>
                    <w:top w:val="none" w:sz="0" w:space="0" w:color="auto"/>
                    <w:left w:val="none" w:sz="0" w:space="0" w:color="auto"/>
                    <w:bottom w:val="none" w:sz="0" w:space="0" w:color="auto"/>
                    <w:right w:val="none" w:sz="0" w:space="0" w:color="auto"/>
                  </w:divBdr>
                  <w:divsChild>
                    <w:div w:id="1589801601">
                      <w:marLeft w:val="0"/>
                      <w:marRight w:val="0"/>
                      <w:marTop w:val="0"/>
                      <w:marBottom w:val="0"/>
                      <w:divBdr>
                        <w:top w:val="none" w:sz="0" w:space="0" w:color="auto"/>
                        <w:left w:val="none" w:sz="0" w:space="0" w:color="auto"/>
                        <w:bottom w:val="none" w:sz="0" w:space="0" w:color="auto"/>
                        <w:right w:val="none" w:sz="0" w:space="0" w:color="auto"/>
                      </w:divBdr>
                      <w:divsChild>
                        <w:div w:id="636881603">
                          <w:marLeft w:val="0"/>
                          <w:marRight w:val="0"/>
                          <w:marTop w:val="0"/>
                          <w:marBottom w:val="0"/>
                          <w:divBdr>
                            <w:top w:val="none" w:sz="0" w:space="0" w:color="auto"/>
                            <w:left w:val="none" w:sz="0" w:space="0" w:color="auto"/>
                            <w:bottom w:val="none" w:sz="0" w:space="0" w:color="auto"/>
                            <w:right w:val="none" w:sz="0" w:space="0" w:color="auto"/>
                          </w:divBdr>
                          <w:divsChild>
                            <w:div w:id="147330934">
                              <w:marLeft w:val="-225"/>
                              <w:marRight w:val="-225"/>
                              <w:marTop w:val="0"/>
                              <w:marBottom w:val="0"/>
                              <w:divBdr>
                                <w:top w:val="none" w:sz="0" w:space="0" w:color="auto"/>
                                <w:left w:val="none" w:sz="0" w:space="0" w:color="auto"/>
                                <w:bottom w:val="none" w:sz="0" w:space="0" w:color="auto"/>
                                <w:right w:val="none" w:sz="0" w:space="0" w:color="auto"/>
                              </w:divBdr>
                              <w:divsChild>
                                <w:div w:id="1799256323">
                                  <w:marLeft w:val="0"/>
                                  <w:marRight w:val="0"/>
                                  <w:marTop w:val="0"/>
                                  <w:marBottom w:val="0"/>
                                  <w:divBdr>
                                    <w:top w:val="none" w:sz="0" w:space="0" w:color="auto"/>
                                    <w:left w:val="none" w:sz="0" w:space="0" w:color="auto"/>
                                    <w:bottom w:val="none" w:sz="0" w:space="0" w:color="auto"/>
                                    <w:right w:val="none" w:sz="0" w:space="0" w:color="auto"/>
                                  </w:divBdr>
                                  <w:divsChild>
                                    <w:div w:id="1896233160">
                                      <w:marLeft w:val="0"/>
                                      <w:marRight w:val="0"/>
                                      <w:marTop w:val="0"/>
                                      <w:marBottom w:val="0"/>
                                      <w:divBdr>
                                        <w:top w:val="none" w:sz="0" w:space="0" w:color="auto"/>
                                        <w:left w:val="none" w:sz="0" w:space="0" w:color="auto"/>
                                        <w:bottom w:val="none" w:sz="0" w:space="0" w:color="auto"/>
                                        <w:right w:val="none" w:sz="0" w:space="0" w:color="auto"/>
                                      </w:divBdr>
                                      <w:divsChild>
                                        <w:div w:id="14241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lmundo.com.ve/noticias/petroleo/pdvsa/una-estafa-desnuda-el-descontrol-en-pdvsa.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sj.com/articles/u-s-investigates-venezuelan-oil-giant-1445478342" TargetMode="External"/><Relationship Id="rId17" Type="http://schemas.openxmlformats.org/officeDocument/2006/relationships/hyperlink" Target="http://konzapata.com/2014/05/el-nuevo-poder-financiero-de-suelopetrol/" TargetMode="External"/><Relationship Id="rId2" Type="http://schemas.openxmlformats.org/officeDocument/2006/relationships/numbering" Target="numbering.xml"/><Relationship Id="rId16" Type="http://schemas.openxmlformats.org/officeDocument/2006/relationships/hyperlink" Target="http://www.suelopetrol.com/about.php?seccion=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rlaw.com/pdfs/070101545-2015-FinCEN.pdf" TargetMode="External"/><Relationship Id="rId5" Type="http://schemas.openxmlformats.org/officeDocument/2006/relationships/webSettings" Target="webSettings.xml"/><Relationship Id="rId15" Type="http://schemas.openxmlformats.org/officeDocument/2006/relationships/hyperlink" Target="http://www.pdvsa.com/" TargetMode="External"/><Relationship Id="rId10" Type="http://schemas.openxmlformats.org/officeDocument/2006/relationships/hyperlink" Target="http://www.pdvsa.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pec.org/opec_web/en/publications/202.htm" TargetMode="External"/><Relationship Id="rId14" Type="http://schemas.openxmlformats.org/officeDocument/2006/relationships/hyperlink" Target="http://lasarmasdecoronel.blogspot.com/2014/11/mi-denuncia-sobre-el-aban-pearl-cumpl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0ACC-C0AB-4B64-8A6C-FBE88D67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7001</Words>
  <Characters>38509</Characters>
  <Application>Microsoft Office Word</Application>
  <DocSecurity>0</DocSecurity>
  <Lines>320</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Analisis</vt:lpstr>
      <vt:lpstr>Analisis</vt:lpstr>
    </vt:vector>
  </TitlesOfParts>
  <Company>Uso Personal</Company>
  <LinksUpToDate>false</LinksUpToDate>
  <CharactersWithSpaces>45420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dc:title>
  <dc:subject>PDVSA</dc:subject>
  <dc:creator>Transparencia</dc:creator>
  <cp:lastModifiedBy>TI Venezuela</cp:lastModifiedBy>
  <cp:revision>2</cp:revision>
  <dcterms:created xsi:type="dcterms:W3CDTF">2017-04-27T18:13:00Z</dcterms:created>
  <dcterms:modified xsi:type="dcterms:W3CDTF">2017-04-27T18:13:00Z</dcterms:modified>
</cp:coreProperties>
</file>